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 – STK17A, also known as DRAK1, is a member of the death‐associated protein kinase (DAPK) family, which comprises several serine/threonine kinases including DAPK1, DAPK2, DAPK3, DRAK1, and DRAK2. STK17A is evolutionarily conserved among vertebrates and its core catalytic domain shares approximately 47–50% sequence homology with DAPK1, placing it within the serine/threonine protein kinase superfamily. Its closest paralog within this family is DRAK2, and orthologs of STK17A are found across mammalian species. This evolutionary conservation is in line with the essential roles played by the DAPK family in apoptosis and stress responses (kogel2001thedapkinase pages 2-4, farag2019death‐associatedproteinkinase pages 2-4, mao2013serinethreoninekinase17a pages 1-2).</w:t>
      </w:r>
    </w:p>
    <w:p>
      <w:pPr>
        <w:numPr>
          <w:ilvl w:val="0"/>
          <w:numId w:val="1001"/>
        </w:numPr>
      </w:pPr>
      <w:r>
        <w:t xml:space="preserve">Reaction Catalyzed – STK17A catalyzes a phosphorylation reaction in which a phosphate group is transferred from ATP to specific hydroxyl groups on serine or threonine residues of protein substrates. The generalized chemical reaction is represented as:</w:t>
      </w:r>
      <w:r>
        <w:br/>
      </w:r>
      <w:r>
        <w:t xml:space="preserve">  ATP + [protein] – (L-serine or L-threonine) → ADP + [protein] – (phospho-L-serine/threonine) + H⁺.</w:t>
      </w:r>
      <w:r>
        <w:br/>
      </w:r>
      <w:r>
        <w:t xml:space="preserve">This reaction is characteristic of serine/threonine kinases, whereby the binding and hydrolysis of ATP lead to the post-translational modification of target proteins (kogel2001thedapkinase pages 2-4, tur2017restorationofdap pages 1-3).</w:t>
      </w:r>
    </w:p>
    <w:p>
      <w:pPr>
        <w:numPr>
          <w:ilvl w:val="0"/>
          <w:numId w:val="1001"/>
        </w:numPr>
      </w:pPr>
      <w:r>
        <w:t xml:space="preserve">Cofactor Requirements – The catalytic activity of STK17A requires divalent magnesium ions (Mg²⁺) as a cofactor. Magnesium ions facilitate ATP binding by coordinating the phosphate groups and are essential for proper catalytic efficiency, as observed for other kinases in the serine/threonine group (kogel2001thedapkinase pages 1-2, farag2019death‐associatedproteinkinase pages 4-6).</w:t>
      </w:r>
    </w:p>
    <w:p>
      <w:pPr>
        <w:numPr>
          <w:ilvl w:val="0"/>
          <w:numId w:val="1001"/>
        </w:numPr>
      </w:pPr>
      <w:r>
        <w:t xml:space="preserve">Substrate Specificity – Although the detailed consensus phosphorylation motif for STK17A has not been definitively established, studies indicate that STK17A phosphorylates serine/threonine residues on target proteins. It is implicated in modifying substrates involved in apoptotic signaling pathways and cytoskeletal regulation. Data from related DAPK family members suggest that substrates such as components of the actin–myosin system may be involved, although the precise amino acid specificity remains less well defined when compared to other serine/threonine kinases (kogel2001thedapkinase pages 2-4, farag2019death‐associatedproteinkinase pages 10-12, manivannan2019rnaselinduces pages 6-8).</w:t>
      </w:r>
    </w:p>
    <w:p>
      <w:pPr>
        <w:numPr>
          <w:ilvl w:val="0"/>
          <w:numId w:val="1001"/>
        </w:numPr>
      </w:pPr>
      <w:r>
        <w:t xml:space="preserve">Structure – STK17A is organized with a conserved N-terminal catalytic kinase domain and a C-terminal regulatory region that contains nuclear localization signals (NLSs). The N-terminal domain adopts the canonical bilobed structure seen in protein kinases, featuring a β-sheet-rich N-lobe and an α-helix–rich C-lobe, and includes a highly conserved lysine residue (commonly designated K90) essential for coordinating ATP within the active site. The activation segment (T-loop) is present and, although its precise regulatory phosphorylation status in STK17A has not been fully characterized, it is presumed to play a role in modulating activity. In contrast to DAPK1 and DAPK2, STK17A lacks a calcium/calmodulin-binding autoinhibitory domain; instead, its C-terminal region contains one or more nuclear localization signals that govern subcellular trafficking and are critical for its pro-apoptotic function. Structural models derived from crystallographic studies of related kinases and from predictive methods such as AlphaFold support the view that STK17A shares the typical serine/threonine kinase fold with additional unique regulatory sequences that distinguish it from other family members (reddy2017roleofdsrnainduced pages 41-47, kogel2001thedapkinase pages 2-4, farag2019death‐associatedproteinkinase pages 4-6, zheng2022newinsightsinto pages 2-4).</w:t>
      </w:r>
    </w:p>
    <w:p>
      <w:pPr>
        <w:numPr>
          <w:ilvl w:val="0"/>
          <w:numId w:val="1001"/>
        </w:numPr>
      </w:pPr>
      <w:r>
        <w:t xml:space="preserve">Regulation – The regulatory mechanisms for STK17A involve both transcriptional and post-translational processes. Transcriptionally, STK17A is induced in response to cellular stress stimuli; it has been identified as a direct target of the p53 pathway following DNA damage, and its expression is also upregulated via interferon signaling triggered by double-stranded RNA and subsequent OAS/RNase L activation. Post-translational regulation includes phosphorylation events that modulate the activity of its catalytic domain, and the proper execution of its pro-apoptotic functions depends on nuclear localization mediated by conserved NLS sequences in the C-terminal region. Notably, unlike other members of the DAPK family, STK17A does not contain a calcium/calmodulin regulatory domain, which distinguishes its mode of regulation. These regulatory controls ensure that STK17A activity is tightly coupled to cellular stress responses and the antiviral defense system (reddy2017roleofdsrnainduced pages 17-23, reddy2017roleofdsrnainduced pages 47-51, mao2013serinethreoninekinase17a pages 1-2, farag2019death‐associatedproteinkinase pages 4-6, tur2017restorationofdap pages 1-3).</w:t>
      </w:r>
    </w:p>
    <w:p>
      <w:pPr>
        <w:numPr>
          <w:ilvl w:val="0"/>
          <w:numId w:val="1001"/>
        </w:numPr>
      </w:pPr>
      <w:r>
        <w:t xml:space="preserve">Function – STK17A functions as a positive regulator of apoptosis. Its activation is associated with the engagement of the c-Jun N-terminal kinase (JNK) signaling pathway and the subsequent cleavage of apoptotic effectors such as caspase-3 and poly(ADP-ribose) polymerase (PARP), thereby facilitating mitochondrial-mediated cell death. In addition, STK17A modulates the levels of cellular reactive oxygen species (ROS), linking its activity to the regulation of oxidative stress. Induction of STK17A occurs in response to interferon signaling and the activation of the RNase L pathway following exposure to double-stranded RNA, which ties its function to innate antiviral responses. Functionally, STK17A exhibits context-dependent roles in cancer; for example, studies in glioblastoma models have demonstrated that its overexpression correlates with enhanced cell proliferation and survival, whereas in colorectal cancer, reduced STK17A expression is observed along with alterations in epithelial characteristics. Genetic association studies have further linked STK17A to hematological traits and neuroimaging measurements, underscoring its involvement in blood cell biology and neural function (reddy2017roleofdsrnainduced pages 17-23, mao2013serinethreoninekinase17a pages 1-2, short2019serinethreoninekinase pages 5-5, OpenTargets Search: -STK17A, zheng2022newinsightsinto pages 4-5).</w:t>
      </w:r>
    </w:p>
    <w:p>
      <w:pPr>
        <w:numPr>
          <w:ilvl w:val="0"/>
          <w:numId w:val="1001"/>
        </w:numPr>
      </w:pPr>
      <w:r>
        <w:t xml:space="preserve">Other Comments – Several selective small molecule inhibitors targeting STK17A have been developed. Notably, quinazoline-based dual inhibitors have been reported to exhibit high potency against both STK17A and its close homolog STK17B, with compound inhibitory concentrations (IC₅₀) as low as 23 nM reported in biochemical assays. Additional studies have described indirubin-3′-monoxime derivatives with nanomolar inhibitory activity against DRAK1, and FDA-approved kinase inhibitors such as baricitinib have also been shown to inhibit STK17A with high potency. Disease association data from integrated genetic studies have linked STK17A to variability in hematological traits as well as neuroimaging biomarkers; moreover, experimental models in cancer have reported dual roles for STK17A in cell survival and apoptosis. Ongoing research continues to define its substrate specificity and interaction partners, as well as to refine chemical probes for future functional studies (chaudhry2024potentselectiveand pages 1-2, farag2019death‐associatedproteinkinase pages 23-26, tur2017restorationofdap pages 1-3, OpenTargets Search: -STK17A).</w:t>
      </w:r>
    </w:p>
    <w:p>
      <w:pPr>
        <w:numPr>
          <w:ilvl w:val="0"/>
          <w:numId w:val="1001"/>
        </w:numPr>
      </w:pPr>
      <w:r>
        <w:t xml:space="preserve">References</w:t>
      </w:r>
    </w:p>
    <w:p>
      <w:pPr>
        <w:numPr>
          <w:ilvl w:val="0"/>
          <w:numId w:val="1001"/>
        </w:numPr>
      </w:pPr>
      <w:r>
        <w:t xml:space="preserve">OpenTargets Search: -STK17A.</w:t>
      </w:r>
      <w:r>
        <w:br/>
      </w:r>
    </w:p>
    <w:p>
      <w:pPr>
        <w:numPr>
          <w:ilvl w:val="0"/>
          <w:numId w:val="1001"/>
        </w:numPr>
      </w:pPr>
      <w:r>
        <w:t xml:space="preserve">reddy2017roleofdsrnainduced pages 17-23.</w:t>
      </w:r>
      <w:r>
        <w:br/>
      </w:r>
    </w:p>
    <w:p>
      <w:pPr>
        <w:numPr>
          <w:ilvl w:val="0"/>
          <w:numId w:val="1001"/>
        </w:numPr>
      </w:pPr>
      <w:r>
        <w:t xml:space="preserve">reddy2017roleofdsrnainduced pages 34-41.</w:t>
      </w:r>
      <w:r>
        <w:br/>
      </w:r>
    </w:p>
    <w:p>
      <w:pPr>
        <w:numPr>
          <w:ilvl w:val="0"/>
          <w:numId w:val="1001"/>
        </w:numPr>
      </w:pPr>
      <w:r>
        <w:t xml:space="preserve">reddy2017roleofdsrnainduced pages 41-47.</w:t>
      </w:r>
      <w:r>
        <w:br/>
      </w:r>
    </w:p>
    <w:p>
      <w:pPr>
        <w:numPr>
          <w:ilvl w:val="0"/>
          <w:numId w:val="1001"/>
        </w:numPr>
      </w:pPr>
      <w:r>
        <w:t xml:space="preserve">reddy2017roleofdsrnainduced pages 47-51.</w:t>
      </w:r>
      <w:r>
        <w:br/>
      </w:r>
    </w:p>
    <w:p>
      <w:pPr>
        <w:numPr>
          <w:ilvl w:val="0"/>
          <w:numId w:val="1001"/>
        </w:numPr>
      </w:pPr>
      <w:r>
        <w:t xml:space="preserve">zheng2022newinsightsinto pages 4-5.</w:t>
      </w:r>
      <w:r>
        <w:br/>
      </w:r>
    </w:p>
    <w:p>
      <w:pPr>
        <w:numPr>
          <w:ilvl w:val="0"/>
          <w:numId w:val="1001"/>
        </w:numPr>
      </w:pPr>
      <w:r>
        <w:t xml:space="preserve">chaudhry2024potentselectiveand pages 1-2.</w:t>
      </w:r>
      <w:r>
        <w:br/>
      </w:r>
    </w:p>
    <w:p>
      <w:pPr>
        <w:numPr>
          <w:ilvl w:val="0"/>
          <w:numId w:val="1001"/>
        </w:numPr>
      </w:pPr>
      <w:r>
        <w:t xml:space="preserve">chaudhry2024potentselectiveand pages 2-3.</w:t>
      </w:r>
      <w:r>
        <w:br/>
      </w:r>
    </w:p>
    <w:p>
      <w:pPr>
        <w:numPr>
          <w:ilvl w:val="0"/>
          <w:numId w:val="1001"/>
        </w:numPr>
      </w:pPr>
      <w:r>
        <w:t xml:space="preserve">chaudhry2024potentselectiveand pages 5-5.</w:t>
      </w:r>
      <w:r>
        <w:br/>
      </w:r>
    </w:p>
    <w:p>
      <w:pPr>
        <w:numPr>
          <w:ilvl w:val="0"/>
          <w:numId w:val="1001"/>
        </w:numPr>
      </w:pPr>
      <w:r>
        <w:t xml:space="preserve">farag2019death‐associatedproteinkinase pages 12-14.</w:t>
      </w:r>
      <w:r>
        <w:br/>
      </w:r>
    </w:p>
    <w:p>
      <w:pPr>
        <w:numPr>
          <w:ilvl w:val="0"/>
          <w:numId w:val="1001"/>
        </w:numPr>
      </w:pPr>
      <w:r>
        <w:t xml:space="preserve">farag2019death‐associatedproteinkinase pages 2-4.</w:t>
      </w:r>
      <w:r>
        <w:br/>
      </w:r>
    </w:p>
    <w:p>
      <w:pPr>
        <w:numPr>
          <w:ilvl w:val="0"/>
          <w:numId w:val="1001"/>
        </w:numPr>
      </w:pPr>
      <w:r>
        <w:t xml:space="preserve">farag2019death‐associatedproteinkinase pages 26-28.</w:t>
      </w:r>
      <w:r>
        <w:br/>
      </w:r>
    </w:p>
    <w:p>
      <w:pPr>
        <w:numPr>
          <w:ilvl w:val="0"/>
          <w:numId w:val="1001"/>
        </w:numPr>
      </w:pPr>
      <w:r>
        <w:t xml:space="preserve">farag2019death‐associatedproteinkinase pages 28-30.</w:t>
      </w:r>
      <w:r>
        <w:br/>
      </w:r>
    </w:p>
    <w:p>
      <w:pPr>
        <w:numPr>
          <w:ilvl w:val="0"/>
          <w:numId w:val="1001"/>
        </w:numPr>
      </w:pPr>
      <w:r>
        <w:t xml:space="preserve">farag2019death‐associatedproteinkinase pages 30-31.</w:t>
      </w:r>
      <w:r>
        <w:br/>
      </w:r>
    </w:p>
    <w:p>
      <w:pPr>
        <w:numPr>
          <w:ilvl w:val="0"/>
          <w:numId w:val="1001"/>
        </w:numPr>
      </w:pPr>
      <w:r>
        <w:t xml:space="preserve">farag2019death‐associatedproteinkinase pages 31-33.</w:t>
      </w:r>
      <w:r>
        <w:br/>
      </w:r>
    </w:p>
    <w:p>
      <w:pPr>
        <w:numPr>
          <w:ilvl w:val="0"/>
          <w:numId w:val="1001"/>
        </w:numPr>
      </w:pPr>
      <w:r>
        <w:t xml:space="preserve">farag2019death‐associatedproteinkinase pages 33-35.</w:t>
      </w:r>
      <w:r>
        <w:br/>
      </w:r>
    </w:p>
    <w:p>
      <w:pPr>
        <w:numPr>
          <w:ilvl w:val="0"/>
          <w:numId w:val="1001"/>
        </w:numPr>
      </w:pPr>
      <w:r>
        <w:t xml:space="preserve">farag2019death‐associatedproteinkinase pages 35-36.</w:t>
      </w:r>
      <w:r>
        <w:br/>
      </w:r>
    </w:p>
    <w:p>
      <w:pPr>
        <w:numPr>
          <w:ilvl w:val="0"/>
          <w:numId w:val="1001"/>
        </w:numPr>
      </w:pPr>
      <w:r>
        <w:t xml:space="preserve">farag2019death‐associatedproteinkinase pages 4-6.</w:t>
      </w:r>
      <w:r>
        <w:br/>
      </w:r>
    </w:p>
    <w:p>
      <w:pPr>
        <w:numPr>
          <w:ilvl w:val="0"/>
          <w:numId w:val="1001"/>
        </w:numPr>
      </w:pPr>
      <w:r>
        <w:t xml:space="preserve">farag2019death‐associatedproteinkinase pages 6-9.</w:t>
      </w:r>
      <w:r>
        <w:br/>
      </w:r>
    </w:p>
    <w:p>
      <w:pPr>
        <w:numPr>
          <w:ilvl w:val="0"/>
          <w:numId w:val="1001"/>
        </w:numPr>
      </w:pPr>
      <w:r>
        <w:t xml:space="preserve">gao2014discoveryofdual pages 21-26.</w:t>
      </w:r>
      <w:r>
        <w:br/>
      </w:r>
    </w:p>
    <w:p>
      <w:pPr>
        <w:numPr>
          <w:ilvl w:val="0"/>
          <w:numId w:val="1001"/>
        </w:numPr>
      </w:pPr>
      <w:r>
        <w:t xml:space="preserve">gao2014discoveryofdual pages 77-82.</w:t>
      </w:r>
      <w:r>
        <w:br/>
      </w:r>
    </w:p>
    <w:p>
      <w:pPr>
        <w:numPr>
          <w:ilvl w:val="0"/>
          <w:numId w:val="1001"/>
        </w:numPr>
      </w:pPr>
      <w:r>
        <w:t xml:space="preserve">kogel2001thedapkinase pages 2-4.</w:t>
      </w:r>
      <w:r>
        <w:br/>
      </w:r>
    </w:p>
    <w:p>
      <w:pPr>
        <w:numPr>
          <w:ilvl w:val="0"/>
          <w:numId w:val="1001"/>
        </w:numPr>
      </w:pPr>
      <w:r>
        <w:t xml:space="preserve">manivannan2019rnaselinduces pages 6-8.</w:t>
      </w:r>
      <w:r>
        <w:br/>
      </w:r>
    </w:p>
    <w:p>
      <w:pPr>
        <w:numPr>
          <w:ilvl w:val="0"/>
          <w:numId w:val="1001"/>
        </w:numPr>
      </w:pPr>
      <w:r>
        <w:t xml:space="preserve">mao2013serinethreoninekinase17a pages 1-2.</w:t>
      </w:r>
      <w:r>
        <w:br/>
      </w:r>
    </w:p>
    <w:p>
      <w:pPr>
        <w:numPr>
          <w:ilvl w:val="0"/>
          <w:numId w:val="1001"/>
        </w:numPr>
      </w:pPr>
      <w:r>
        <w:t xml:space="preserve">mao2013serinethreoninekinase17a pages 14-14.</w:t>
      </w:r>
      <w:r>
        <w:br/>
      </w:r>
    </w:p>
    <w:p>
      <w:pPr>
        <w:numPr>
          <w:ilvl w:val="0"/>
          <w:numId w:val="1001"/>
        </w:numPr>
      </w:pPr>
      <w:r>
        <w:t xml:space="preserve">moret2020aresourcefor pages 17-20.</w:t>
      </w:r>
      <w:r>
        <w:br/>
      </w:r>
    </w:p>
    <w:p>
      <w:pPr>
        <w:numPr>
          <w:ilvl w:val="0"/>
          <w:numId w:val="1001"/>
        </w:numPr>
      </w:pPr>
      <w:r>
        <w:t xml:space="preserve">picado2020achemicalprobe pages 1-2.</w:t>
      </w:r>
      <w:r>
        <w:br/>
      </w:r>
    </w:p>
    <w:p>
      <w:pPr>
        <w:numPr>
          <w:ilvl w:val="0"/>
          <w:numId w:val="1001"/>
        </w:numPr>
      </w:pPr>
      <w:r>
        <w:t xml:space="preserve">picado2020achemicalprobe pages 18-19.</w:t>
      </w:r>
      <w:r>
        <w:br/>
      </w:r>
    </w:p>
    <w:p>
      <w:pPr>
        <w:numPr>
          <w:ilvl w:val="0"/>
          <w:numId w:val="1001"/>
        </w:numPr>
      </w:pPr>
      <w:r>
        <w:t xml:space="preserve">scheuplein2024evaluationofstk17b pages 13-13.</w:t>
      </w:r>
      <w:r>
        <w:br/>
      </w:r>
    </w:p>
    <w:p>
      <w:pPr>
        <w:numPr>
          <w:ilvl w:val="0"/>
          <w:numId w:val="1001"/>
        </w:numPr>
      </w:pPr>
      <w:r>
        <w:t xml:space="preserve">short2019serinethreoninekinase pages 5-5.</w:t>
      </w:r>
      <w:r>
        <w:br/>
      </w:r>
    </w:p>
    <w:p>
      <w:pPr>
        <w:numPr>
          <w:ilvl w:val="0"/>
          <w:numId w:val="1001"/>
        </w:numPr>
      </w:pPr>
      <w:r>
        <w:t xml:space="preserve">tur2017restorationofdap pages 1-3.</w:t>
      </w:r>
      <w:r>
        <w:br/>
      </w:r>
    </w:p>
    <w:p>
      <w:pPr>
        <w:numPr>
          <w:ilvl w:val="0"/>
          <w:numId w:val="1001"/>
        </w:numPr>
      </w:pPr>
      <w:r>
        <w:t xml:space="preserve">zheng2022newinsightsinto pages 11-12.</w:t>
      </w:r>
      <w:r>
        <w:br/>
      </w:r>
    </w:p>
    <w:p>
      <w:pPr>
        <w:numPr>
          <w:ilvl w:val="0"/>
          <w:numId w:val="1001"/>
        </w:numPr>
      </w:pPr>
      <w:r>
        <w:t xml:space="preserve">zheng2022newinsightsinto pages 12-12.</w:t>
      </w:r>
      <w:r>
        <w:br/>
      </w:r>
    </w:p>
    <w:p>
      <w:pPr>
        <w:numPr>
          <w:ilvl w:val="0"/>
          <w:numId w:val="1001"/>
        </w:numPr>
      </w:pPr>
      <w:r>
        <w:t xml:space="preserve">zheng2022newinsightsinto pages 13-14.</w:t>
      </w:r>
      <w:r>
        <w:br/>
      </w:r>
    </w:p>
    <w:p>
      <w:pPr>
        <w:numPr>
          <w:ilvl w:val="0"/>
          <w:numId w:val="1001"/>
        </w:numPr>
      </w:pPr>
      <w:r>
        <w:t xml:space="preserve">zheng2022newinsightsinto pages 14-14.</w:t>
      </w:r>
      <w:r>
        <w:br/>
      </w:r>
    </w:p>
    <w:p>
      <w:pPr>
        <w:numPr>
          <w:ilvl w:val="0"/>
          <w:numId w:val="1001"/>
        </w:numPr>
      </w:pPr>
      <w:r>
        <w:t xml:space="preserve">zheng2022newinsightsinto pages 2-4.</w:t>
      </w:r>
      <w:r>
        <w:br/>
      </w:r>
    </w:p>
    <w:p>
      <w:pPr>
        <w:numPr>
          <w:ilvl w:val="0"/>
          <w:numId w:val="1001"/>
        </w:numPr>
      </w:pPr>
      <w:r>
        <w:t xml:space="preserve">zheng2022newinsightsinto pages 5-7.</w:t>
      </w:r>
    </w:p>
    <w:p>
      <w:pPr>
        <w:pStyle w:val="FirstParagraph"/>
      </w:pPr>
      <w:r>
        <w:t xml:space="preserve">References</w:t>
      </w:r>
    </w:p>
    <w:p>
      <w:pPr>
        <w:numPr>
          <w:ilvl w:val="0"/>
          <w:numId w:val="1002"/>
        </w:numPr>
      </w:pPr>
      <w:r>
        <w:t xml:space="preserve">(OpenTargets Search: -STK17A): Open Targets Query (-STK17A, 5 results). Buniello, A. et al. (2025). Open Targets Platform: facilitating therapeutic hypotheses building in drug discovery. Nucleic Acids Research.</w:t>
      </w:r>
    </w:p>
    <w:p>
      <w:pPr>
        <w:numPr>
          <w:ilvl w:val="0"/>
          <w:numId w:val="1002"/>
        </w:numPr>
      </w:pPr>
      <w:r>
        <w:t xml:space="preserve">(reddy2017roleofdsrnainduced pages 17-23): V Reddy. Role of dsrna-induced drak1 in apoptosis. Unknown journal, 2017.</w:t>
      </w:r>
    </w:p>
    <w:p>
      <w:pPr>
        <w:numPr>
          <w:ilvl w:val="0"/>
          <w:numId w:val="1002"/>
        </w:numPr>
      </w:pPr>
      <w:r>
        <w:t xml:space="preserve">(reddy2017roleofdsrnainduced pages 34-41): V Reddy. Role of dsrna-induced drak1 in apoptosis. Unknown journal, 2017.</w:t>
      </w:r>
    </w:p>
    <w:p>
      <w:pPr>
        <w:numPr>
          <w:ilvl w:val="0"/>
          <w:numId w:val="1002"/>
        </w:numPr>
      </w:pPr>
      <w:r>
        <w:t xml:space="preserve">(reddy2017roleofdsrnainduced pages 41-47): V Reddy. Role of dsrna-induced drak1 in apoptosis. Unknown journal, 2017.</w:t>
      </w:r>
    </w:p>
    <w:p>
      <w:pPr>
        <w:numPr>
          <w:ilvl w:val="0"/>
          <w:numId w:val="1002"/>
        </w:numPr>
      </w:pPr>
      <w:r>
        <w:t xml:space="preserve">(reddy2017roleofdsrnainduced pages 47-51): V Reddy. Role of dsrna-induced drak1 in apoptosis. Unknown journal, 2017.</w:t>
      </w:r>
    </w:p>
    <w:p>
      <w:pPr>
        <w:numPr>
          <w:ilvl w:val="0"/>
          <w:numId w:val="1002"/>
        </w:numPr>
      </w:pPr>
      <w:r>
        <w:t xml:space="preserve">(zheng2022newinsightsinto pages 4-5): Youwei Zheng, Xinchao Li, Lirun Kuang, and Yong Wang. New insights into the characteristics of drak2 and its role in apoptosis: from molecular mechanisms to clinically applied potential. Frontiers in Pharmacology, Oct 2022. URL: https://doi.org/10.3389/fphar.2022.1014508, doi:10.3389/fphar.2022.1014508. This article has 6 citations and is from a peer-reviewed journal.</w:t>
      </w:r>
    </w:p>
    <w:p>
      <w:pPr>
        <w:numPr>
          <w:ilvl w:val="0"/>
          <w:numId w:val="1002"/>
        </w:numPr>
      </w:pPr>
      <w:r>
        <w:t xml:space="preserve">(chaudhry2024potentselectiveand pages 1-2): Sana Chaudhry, Jesus R. Castro, Tulasigeri M. Totiger, Jumana Afaghani, Rabia Khurshid, Miah Nicholls, Ziming Zhang, Stephan C. Schürer, Ashish Shah, Justin Taylor, and Yangbo Feng. Potent, selective, and orally bioavailable quinazoline-based stk17a/b dual inhibitors. ACS Medicinal Chemistry Letters, 15:945-949, May 2024. URL: https://doi.org/10.1021/acsmedchemlett.4c00125, doi:10.1021/acsmedchemlett.4c00125. This article has 1 citations and is from a peer-reviewed journal.</w:t>
      </w:r>
    </w:p>
    <w:p>
      <w:pPr>
        <w:numPr>
          <w:ilvl w:val="0"/>
          <w:numId w:val="1002"/>
        </w:numPr>
      </w:pPr>
      <w:r>
        <w:t xml:space="preserve">(chaudhry2024potentselectiveand pages 2-3): Sana Chaudhry, Jesus R. Castro, Tulasigeri M. Totiger, Jumana Afaghani, Rabia Khurshid, Miah Nicholls, Ziming Zhang, Stephan C. Schürer, Ashish Shah, Justin Taylor, and Yangbo Feng. Potent, selective, and orally bioavailable quinazoline-based stk17a/b dual inhibitors. ACS Medicinal Chemistry Letters, 15:945-949, May 2024. URL: https://doi.org/10.1021/acsmedchemlett.4c00125, doi:10.1021/acsmedchemlett.4c00125. This article has 1 citations and is from a peer-reviewed journal.</w:t>
      </w:r>
    </w:p>
    <w:p>
      <w:pPr>
        <w:numPr>
          <w:ilvl w:val="0"/>
          <w:numId w:val="1002"/>
        </w:numPr>
      </w:pPr>
      <w:r>
        <w:t xml:space="preserve">(chaudhry2024potentselectiveand pages 5-5): Sana Chaudhry, Jesus R. Castro, Tulasigeri M. Totiger, Jumana Afaghani, Rabia Khurshid, Miah Nicholls, Ziming Zhang, Stephan C. Schürer, Ashish Shah, Justin Taylor, and Yangbo Feng. Potent, selective, and orally bioavailable quinazoline-based stk17a/b dual inhibitors. ACS Medicinal Chemistry Letters, 15:945-949, May 2024. URL: https://doi.org/10.1021/acsmedchemlett.4c00125, doi:10.1021/acsmedchemlett.4c00125. This article has 1 citations and is from a peer-reviewed journal.</w:t>
      </w:r>
    </w:p>
    <w:p>
      <w:pPr>
        <w:numPr>
          <w:ilvl w:val="0"/>
          <w:numId w:val="1002"/>
        </w:numPr>
      </w:pPr>
      <w:r>
        <w:t xml:space="preserve">(farag2019death‐associatedproteinkinase pages 12-14): Ahmed Karam Farag and Eun Joo Roh. Death‐associated protein kinase (dapk) family modulators: current and future therapeutic outcomes. Medicinal Research Reviews, 39:349-385, Jun 2019. URL: https://doi.org/10.1002/med.21518, doi:10.1002/med.21518. This article has 116 citations and is from a domain leading peer-reviewed journal.</w:t>
      </w:r>
    </w:p>
    <w:p>
      <w:pPr>
        <w:numPr>
          <w:ilvl w:val="0"/>
          <w:numId w:val="1002"/>
        </w:numPr>
      </w:pPr>
      <w:r>
        <w:t xml:space="preserve">(farag2019death‐associatedproteinkinase pages 2-4): Ahmed Karam Farag and Eun Joo Roh. Death‐associated protein kinase (dapk) family modulators: current and future therapeutic outcomes. Medicinal Research Reviews, 39:349-385, Jun 2019. URL: https://doi.org/10.1002/med.21518, doi:10.1002/med.21518. This article has 116 citations and is from a domain leading peer-reviewed journal.</w:t>
      </w:r>
    </w:p>
    <w:p>
      <w:pPr>
        <w:numPr>
          <w:ilvl w:val="0"/>
          <w:numId w:val="1002"/>
        </w:numPr>
      </w:pPr>
      <w:r>
        <w:t xml:space="preserve">(farag2019death‐associatedproteinkinase pages 26-28): Ahmed Karam Farag and Eun Joo Roh. Death‐associated protein kinase (dapk) family modulators: current and future therapeutic outcomes. Medicinal Research Reviews, 39:349-385, Jun 2019. URL: https://doi.org/10.1002/med.21518, doi:10.1002/med.21518. This article has 116 citations and is from a domain leading peer-reviewed journal.</w:t>
      </w:r>
    </w:p>
    <w:p>
      <w:pPr>
        <w:numPr>
          <w:ilvl w:val="0"/>
          <w:numId w:val="1002"/>
        </w:numPr>
      </w:pPr>
      <w:r>
        <w:t xml:space="preserve">(farag2019death‐associatedproteinkinase pages 28-30): Ahmed Karam Farag and Eun Joo Roh. Death‐associated protein kinase (dapk) family modulators: current and future therapeutic outcomes. Medicinal Research Reviews, 39:349-385, Jun 2019. URL: https://doi.org/10.1002/med.21518, doi:10.1002/med.21518. This article has 116 citations and is from a domain leading peer-reviewed journal.</w:t>
      </w:r>
    </w:p>
    <w:p>
      <w:pPr>
        <w:numPr>
          <w:ilvl w:val="0"/>
          <w:numId w:val="1002"/>
        </w:numPr>
      </w:pPr>
      <w:r>
        <w:t xml:space="preserve">(farag2019death‐associatedproteinkinase pages 30-31): Ahmed Karam Farag and Eun Joo Roh. Death‐associated protein kinase (dapk) family modulators: current and future therapeutic outcomes. Medicinal Research Reviews, 39:349-385, Jun 2019. URL: https://doi.org/10.1002/med.21518, doi:10.1002/med.21518. This article has 116 citations and is from a domain leading peer-reviewed journal.</w:t>
      </w:r>
    </w:p>
    <w:p>
      <w:pPr>
        <w:numPr>
          <w:ilvl w:val="0"/>
          <w:numId w:val="1002"/>
        </w:numPr>
      </w:pPr>
      <w:r>
        <w:t xml:space="preserve">(farag2019death‐associatedproteinkinase pages 31-33): Ahmed Karam Farag and Eun Joo Roh. Death‐associated protein kinase (dapk) family modulators: current and future therapeutic outcomes. Medicinal Research Reviews, 39:349-385, Jun 2019. URL: https://doi.org/10.1002/med.21518, doi:10.1002/med.21518. This article has 116 citations and is from a domain leading peer-reviewed journal.</w:t>
      </w:r>
    </w:p>
    <w:p>
      <w:pPr>
        <w:numPr>
          <w:ilvl w:val="0"/>
          <w:numId w:val="1002"/>
        </w:numPr>
      </w:pPr>
      <w:r>
        <w:t xml:space="preserve">(farag2019death‐associatedproteinkinase pages 33-35): Ahmed Karam Farag and Eun Joo Roh. Death‐associated protein kinase (dapk) family modulators: current and future therapeutic outcomes. Medicinal Research Reviews, 39:349-385, Jun 2019. URL: https://doi.org/10.1002/med.21518, doi:10.1002/med.21518. This article has 116 citations and is from a domain leading peer-reviewed journal.</w:t>
      </w:r>
    </w:p>
    <w:p>
      <w:pPr>
        <w:numPr>
          <w:ilvl w:val="0"/>
          <w:numId w:val="1002"/>
        </w:numPr>
      </w:pPr>
      <w:r>
        <w:t xml:space="preserve">(farag2019death‐associatedproteinkinase pages 35-36): Ahmed Karam Farag and Eun Joo Roh. Death‐associated protein kinase (dapk) family modulators: current and future therapeutic outcomes. Medicinal Research Reviews, 39:349-385, Jun 2019. URL: https://doi.org/10.1002/med.21518, doi:10.1002/med.21518. This article has 116 citations and is from a domain leading peer-reviewed journal.</w:t>
      </w:r>
    </w:p>
    <w:p>
      <w:pPr>
        <w:numPr>
          <w:ilvl w:val="0"/>
          <w:numId w:val="1002"/>
        </w:numPr>
      </w:pPr>
      <w:r>
        <w:t xml:space="preserve">(farag2019death‐associatedproteinkinase pages 4-6): Ahmed Karam Farag and Eun Joo Roh. Death‐associated protein kinase (dapk) family modulators: current and future therapeutic outcomes. Medicinal Research Reviews, 39:349-385, Jun 2019. URL: https://doi.org/10.1002/med.21518, doi:10.1002/med.21518. This article has 116 citations and is from a domain leading peer-reviewed journal.</w:t>
      </w:r>
    </w:p>
    <w:p>
      <w:pPr>
        <w:numPr>
          <w:ilvl w:val="0"/>
          <w:numId w:val="1002"/>
        </w:numPr>
      </w:pPr>
      <w:r>
        <w:t xml:space="preserve">(farag2019death‐associatedproteinkinase pages 6-9): Ahmed Karam Farag and Eun Joo Roh. Death‐associated protein kinase (dapk) family modulators: current and future therapeutic outcomes. Medicinal Research Reviews, 39:349-385, Jun 2019. URL: https://doi.org/10.1002/med.21518, doi:10.1002/med.21518. This article has 116 citations and is from a domain leading peer-reviewed journal.</w:t>
      </w:r>
    </w:p>
    <w:p>
      <w:pPr>
        <w:numPr>
          <w:ilvl w:val="0"/>
          <w:numId w:val="1002"/>
        </w:numPr>
      </w:pPr>
      <w:r>
        <w:t xml:space="preserve">(gao2014discoveryofdual pages 21-26): Ling-Jie Gao, Sona Kovackova, Michal Šála, Anna Teresa Ramadori, Steven De Jonghe, and Piet Herdewijn. Discovery of dual death-associated protein related apoptosis inducing protein kinase 1 and 2 inhibitors by a scaffold hopping approach. Journal of Medicinal Chemistry, 57:7624-7643, Sep 2014. URL: https://doi.org/10.1021/jm5007929, doi:10.1021/jm5007929. This article has 45 citations and is from a highest quality peer-reviewed journal.</w:t>
      </w:r>
    </w:p>
    <w:p>
      <w:pPr>
        <w:numPr>
          <w:ilvl w:val="0"/>
          <w:numId w:val="1002"/>
        </w:numPr>
      </w:pPr>
      <w:r>
        <w:t xml:space="preserve">(gao2014discoveryofdual pages 77-82): Ling-Jie Gao, Sona Kovackova, Michal Šála, Anna Teresa Ramadori, Steven De Jonghe, and Piet Herdewijn. Discovery of dual death-associated protein related apoptosis inducing protein kinase 1 and 2 inhibitors by a scaffold hopping approach. Journal of Medicinal Chemistry, 57:7624-7643, Sep 2014. URL: https://doi.org/10.1021/jm5007929, doi:10.1021/jm5007929. This article has 45 citations and is from a highest quality peer-reviewed journal.</w:t>
      </w:r>
    </w:p>
    <w:p>
      <w:pPr>
        <w:numPr>
          <w:ilvl w:val="0"/>
          <w:numId w:val="1002"/>
        </w:numPr>
      </w:pPr>
      <w:r>
        <w:t xml:space="preserve">(kogel2001thedapkinase pages 2-4): Donat Kögel, Jochen H.M. Prehn, and Karl Heinz Scheidtmann. The dap kinase family of pro‐apoptotic proteins: novel players in the apoptotic game. BioEssays, Apr 2001. URL: https://doi.org/10.1002/bies.1050, doi:10.1002/bies.1050. This article has 137 citations and is from a peer-reviewed journal.</w:t>
      </w:r>
    </w:p>
    <w:p>
      <w:pPr>
        <w:numPr>
          <w:ilvl w:val="0"/>
          <w:numId w:val="1002"/>
        </w:numPr>
      </w:pPr>
      <w:r>
        <w:t xml:space="preserve">(manivannan2019rnaselinduces pages 6-8): Praveen Manivannan, Vidita Reddy, Sushovita Mukherjee, Kirsten Neytania Clark, and Krishnamurthy Malathi. Rnase l induces expression of a novel serine/threonine protein kinase, drak1, to promote apoptosis. International Journal of Molecular Sciences, 20:3535, Jul 2019. URL: https://doi.org/10.3390/ijms20143535, doi:10.3390/ijms20143535. This article has 18 citations and is from a peer-reviewed journal.</w:t>
      </w:r>
    </w:p>
    <w:p>
      <w:pPr>
        <w:numPr>
          <w:ilvl w:val="0"/>
          <w:numId w:val="1002"/>
        </w:numPr>
      </w:pPr>
      <w:r>
        <w:t xml:space="preserve">(mao2013serinethreoninekinase17a pages 1-2): Pingping Mao, Mary P. Hever-Jardine, Gilbert J. Rahme, Eric Yang, Janice Tam, Anita Kodali, Bijesh Biswal, Camilo E. Fadul, Arti Gaur, Mark A. Israel, and Michael J. Spinella. Serine/threonine kinase 17a is a novel candidate for therapeutic targeting in glioblastoma. PLoS ONE, 8:e81803, Nov 2013. URL: https://doi.org/10.1371/journal.pone.0081803, doi:10.1371/journal.pone.0081803. This article has 90 citations and is from a peer-reviewed journal.</w:t>
      </w:r>
    </w:p>
    <w:p>
      <w:pPr>
        <w:numPr>
          <w:ilvl w:val="0"/>
          <w:numId w:val="1002"/>
        </w:numPr>
      </w:pPr>
      <w:r>
        <w:t xml:space="preserve">(mao2013serinethreoninekinase17a pages 14-14): Pingping Mao, Mary P. Hever-Jardine, Gilbert J. Rahme, Eric Yang, Janice Tam, Anita Kodali, Bijesh Biswal, Camilo E. Fadul, Arti Gaur, Mark A. Israel, and Michael J. Spinella. Serine/threonine kinase 17a is a novel candidate for therapeutic targeting in glioblastoma. PLoS ONE, 8:e81803, Nov 2013. URL: https://doi.org/10.1371/journal.pone.0081803, doi:10.1371/journal.pone.0081803. This article has 90 citations and is from a peer-reviewed journal.</w:t>
      </w:r>
    </w:p>
    <w:p>
      <w:pPr>
        <w:numPr>
          <w:ilvl w:val="0"/>
          <w:numId w:val="1002"/>
        </w:numPr>
      </w:pPr>
      <w:r>
        <w:t xml:space="preserve">(moret2020aresourcefor pages 17-20): Nienke Moret, Changchang Liu, Benjamin M. Gyori, John A. Bachman, Albert Steppi, Clemens Hug, Rahil Taujale, Liang-Chin Huang, Matthew E. Berginski, Shawn M. Gomez, Natarajan Kannan, and Peter K. Sorger. A resource for exploring the understudied human kinome for research and therapeutic opportunities. BioRxiv, Apr 2020. URL: https://doi.org/10.1101/2020.04.02.022277, doi:10.1101/2020.04.02.022277. This article has 29 citations.</w:t>
      </w:r>
    </w:p>
    <w:p>
      <w:pPr>
        <w:numPr>
          <w:ilvl w:val="0"/>
          <w:numId w:val="1002"/>
        </w:numPr>
      </w:pPr>
      <w:r>
        <w:t xml:space="preserve">(picado2020achemicalprobe pages 1-2): Alfredo Picado, Apirat Chaikuad, Carrow I. Wells, Safal Shrestha, William J. Zuercher, Julie E. Pickett, Frank E. Kwarcinski, Parvathi Sinha, Chandi S. de Silva, Reena Zutshi, Shubin Liu, Natarajan Kannan, Stefan Knapp, David H. Drewry, and Timothy M. Willson. A chemical probe for dark kinase stk17b derives its potency and high selectivity through a unique p-loop conformation. Journal of Medicinal Chemistry, 63:14626-14646, Nov 2020. URL: https://doi.org/10.1021/acs.jmedchem.0c01174, doi:10.1021/acs.jmedchem.0c01174. This article has 20 citations and is from a highest quality peer-reviewed journal.</w:t>
      </w:r>
    </w:p>
    <w:p>
      <w:pPr>
        <w:numPr>
          <w:ilvl w:val="0"/>
          <w:numId w:val="1002"/>
        </w:numPr>
      </w:pPr>
      <w:r>
        <w:t xml:space="preserve">(picado2020achemicalprobe pages 18-19): Alfredo Picado, Apirat Chaikuad, Carrow I. Wells, Safal Shrestha, William J. Zuercher, Julie E. Pickett, Frank E. Kwarcinski, Parvathi Sinha, Chandi S. de Silva, Reena Zutshi, Shubin Liu, Natarajan Kannan, Stefan Knapp, David H. Drewry, and Timothy M. Willson. A chemical probe for dark kinase stk17b derives its potency and high selectivity through a unique p-loop conformation. Journal of Medicinal Chemistry, 63:14626-14646, Nov 2020. URL: https://doi.org/10.1021/acs.jmedchem.0c01174, doi:10.1021/acs.jmedchem.0c01174. This article has 20 citations and is from a highest quality peer-reviewed journal.</w:t>
      </w:r>
    </w:p>
    <w:p>
      <w:pPr>
        <w:numPr>
          <w:ilvl w:val="0"/>
          <w:numId w:val="1002"/>
        </w:numPr>
      </w:pPr>
      <w:r>
        <w:t xml:space="preserve">(scheuplein2024evaluationofstk17b pages 13-13): Felix Scheuplein, Florian Renner, John E. Campbell, Robert Campbell, Chris De Savi, Jan Eckmann, Holger Fischer, Jie Ge, Luke Green, Peter Jakob, Joseph L. Kim, Caitlin Kinkema, Katie McGinn, Ricardo Medina, Annemarie Müller, Nisha Perez, Emanuele Perola, Yoav Timsit, Tary Traore, Ulrike Hopfer, Stefka Tyanova, Manuel Tzouros, Ruduan Wang, Richard Woessner, Marion Dorsch, and James R. Bischoff. Evaluation of stk17b as a cancer immunotherapy target utilizing highly potent and selective small molecule inhibitors. Frontiers in Immunology, Oct 2024. URL: https://doi.org/10.3389/fimmu.2024.1411395, doi:10.3389/fimmu.2024.1411395. This article has 1 citations and is from a peer-reviewed journal.</w:t>
      </w:r>
    </w:p>
    <w:p>
      <w:pPr>
        <w:numPr>
          <w:ilvl w:val="0"/>
          <w:numId w:val="1002"/>
        </w:numPr>
      </w:pPr>
      <w:r>
        <w:t xml:space="preserve">(short2019serinethreoninekinase pages 5-5): Sarah P. Short, Joshua J Thompson, A. Bilotta, Xi Chen, Frank L. Revetta, M. Washington, and Christopher S. Williams. Serine threonine kinase 17a maintains the epithelial state in colorectal cancer cells. Molecular Cancer Research, 17:882-894, Jan 2019. URL: https://doi.org/10.1158/1541-7786.mcr-18-0990, doi:10.1158/1541-7786.mcr-18-0990. This article has 15 citations and is from a peer-reviewed journal.</w:t>
      </w:r>
    </w:p>
    <w:p>
      <w:pPr>
        <w:numPr>
          <w:ilvl w:val="0"/>
          <w:numId w:val="1002"/>
        </w:numPr>
      </w:pPr>
      <w:r>
        <w:t xml:space="preserve">(tur2017restorationofdap pages 1-3): M. Tur, A. K. Daramola, S. Gattenlöhner, M. Herling, S. Chetty, and S. Barth. Restoration of dap kinase tumor suppressor function: a therapeutic strategy to selectively induce apoptosis in cancer cells using immunokinase fusion proteins. Biomedicines, Oct 2017. URL: https://doi.org/10.3390/biomedicines5040059, doi:10.3390/biomedicines5040059. This article has 17 citations and is from a peer-reviewed journal.</w:t>
      </w:r>
    </w:p>
    <w:p>
      <w:pPr>
        <w:numPr>
          <w:ilvl w:val="0"/>
          <w:numId w:val="1002"/>
        </w:numPr>
      </w:pPr>
      <w:r>
        <w:t xml:space="preserve">(zheng2022newinsightsinto pages 5-7): Youwei Zheng, Xinchao Li, Lirun Kuang, and Yong Wang. New insights into the characteristics of drak2 and its role in apoptosis: from molecular mechanisms to clinically applied potential. Frontiers in Pharmacology, Oct 2022. URL: https://doi.org/10.3389/fphar.2022.1014508, doi:10.3389/fphar.2022.1014508. This article has 6 citations and is from a peer-reviewed journal.</w:t>
      </w:r>
    </w:p>
    <w:p>
      <w:pPr>
        <w:numPr>
          <w:ilvl w:val="0"/>
          <w:numId w:val="1002"/>
        </w:numPr>
      </w:pPr>
      <w:r>
        <w:t xml:space="preserve">(farag2019death‐associatedproteinkinase pages 10-12): Ahmed Karam Farag and Eun Joo Roh. Death‐associated protein kinase (dapk) family modulators: current and future therapeutic outcomes. Medicinal Research Reviews, 39:349-385, Jun 2019. URL: https://doi.org/10.1002/med.21518, doi:10.1002/med.21518. This article has 116 citations and is from a domain leading peer-reviewed journal.</w:t>
      </w:r>
    </w:p>
    <w:p>
      <w:pPr>
        <w:numPr>
          <w:ilvl w:val="0"/>
          <w:numId w:val="1002"/>
        </w:numPr>
      </w:pPr>
      <w:r>
        <w:t xml:space="preserve">(farag2019death‐associatedproteinkinase pages 23-26): Ahmed Karam Farag and Eun Joo Roh. Death‐associated protein kinase (dapk) family modulators: current and future therapeutic outcomes. Medicinal Research Reviews, 39:349-385, Jun 2019. URL: https://doi.org/10.1002/med.21518, doi:10.1002/med.21518. This article has 116 citations and is from a domain leading peer-reviewed journal.</w:t>
      </w:r>
    </w:p>
    <w:p>
      <w:pPr>
        <w:numPr>
          <w:ilvl w:val="0"/>
          <w:numId w:val="1002"/>
        </w:numPr>
      </w:pPr>
      <w:r>
        <w:t xml:space="preserve">(kogel2001thedapkinase pages 1-2): Donat Kögel, Jochen H.M. Prehn, and Karl Heinz Scheidtmann. The dap kinase family of pro‐apoptotic proteins: novel players in the apoptotic game. BioEssays, Apr 2001. URL: https://doi.org/10.1002/bies.1050, doi:10.1002/bies.1050. This article has 137 citations and is from a peer-reviewed journal.</w:t>
      </w:r>
    </w:p>
    <w:p>
      <w:pPr>
        <w:numPr>
          <w:ilvl w:val="0"/>
          <w:numId w:val="1002"/>
        </w:numPr>
      </w:pPr>
      <w:r>
        <w:t xml:space="preserve">(zheng2022newinsightsinto pages 11-12): Youwei Zheng, Xinchao Li, Lirun Kuang, and Yong Wang. New insights into the characteristics of drak2 and its role in apoptosis: from molecular mechanisms to clinically applied potential. Frontiers in Pharmacology, Oct 2022. URL: https://doi.org/10.3389/fphar.2022.1014508, doi:10.3389/fphar.2022.1014508. This article has 6 citations and is from a peer-reviewed journal.</w:t>
      </w:r>
    </w:p>
    <w:p>
      <w:pPr>
        <w:numPr>
          <w:ilvl w:val="0"/>
          <w:numId w:val="1002"/>
        </w:numPr>
      </w:pPr>
      <w:r>
        <w:t xml:space="preserve">(zheng2022newinsightsinto pages 12-12): Youwei Zheng, Xinchao Li, Lirun Kuang, and Yong Wang. New insights into the characteristics of drak2 and its role in apoptosis: from molecular mechanisms to clinically applied potential. Frontiers in Pharmacology, Oct 2022. URL: https://doi.org/10.3389/fphar.2022.1014508, doi:10.3389/fphar.2022.1014508. This article has 6 citations and is from a peer-reviewed journal.</w:t>
      </w:r>
    </w:p>
    <w:p>
      <w:pPr>
        <w:numPr>
          <w:ilvl w:val="0"/>
          <w:numId w:val="1002"/>
        </w:numPr>
      </w:pPr>
      <w:r>
        <w:t xml:space="preserve">(zheng2022newinsightsinto pages 13-14): Youwei Zheng, Xinchao Li, Lirun Kuang, and Yong Wang. New insights into the characteristics of drak2 and its role in apoptosis: from molecular mechanisms to clinically applied potential. Frontiers in Pharmacology, Oct 2022. URL: https://doi.org/10.3389/fphar.2022.1014508, doi:10.3389/fphar.2022.1014508. This article has 6 citations and is from a peer-reviewed journal.</w:t>
      </w:r>
    </w:p>
    <w:p>
      <w:pPr>
        <w:numPr>
          <w:ilvl w:val="0"/>
          <w:numId w:val="1002"/>
        </w:numPr>
      </w:pPr>
      <w:r>
        <w:t xml:space="preserve">(zheng2022newinsightsinto pages 14-14): Youwei Zheng, Xinchao Li, Lirun Kuang, and Yong Wang. New insights into the characteristics of drak2 and its role in apoptosis: from molecular mechanisms to clinically applied potential. Frontiers in Pharmacology, Oct 2022. URL: https://doi.org/10.3389/fphar.2022.1014508, doi:10.3389/fphar.2022.1014508. This article has 6 citations and is from a peer-reviewed journal.</w:t>
      </w:r>
    </w:p>
    <w:p>
      <w:pPr>
        <w:numPr>
          <w:ilvl w:val="0"/>
          <w:numId w:val="1002"/>
        </w:numPr>
      </w:pPr>
      <w:r>
        <w:t xml:space="preserve">(zheng2022newinsightsinto pages 2-4): Youwei Zheng, Xinchao Li, Lirun Kuang, and Yong Wang. New insights into the characteristics of drak2 and its role in apoptosis: from molecular mechanisms to clinically applied potential. Frontiers in Pharmacology, Oct 2022. URL: https://doi.org/10.3389/fphar.2022.1014508, doi:10.3389/fphar.2022.1014508. This article has 6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2025-06-18T18:52:15Z</dcterms:created>
  <dcterms:modified xsi:type="dcterms:W3CDTF">2025-06-18T18:52:15Z</dcterms:modified>
</cp:coreProperties>
</file>

<file path=docProps/custom.xml><?xml version="1.0" encoding="utf-8"?>
<Properties xmlns="http://schemas.openxmlformats.org/officeDocument/2006/custom-properties" xmlns:vt="http://schemas.openxmlformats.org/officeDocument/2006/docPropsVTypes"/>
</file>