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STK40 is an evolutionarily conserved member of the Hanks‐type serine/threonine protein kinases, a large group of enzymes that constitutes the canonical eukaryotic protein kinase (ePK) superfamily. Comparative phylogenetic analyses indicate that the kinase domains within this superfamily share a monophyletic origin traceable to the Last Eukaryotic Common Ancestor (LECA), and STK40 appears to be part of the core set of serine/threonine kinases that have been maintained throughout metazoan evolution. Although detailed subfamily assignments for STK40 remain under investigation, the conserved active‐site motifs and overall fold indicate that it belongs to the group of kinases that emerged before vertebrate diversification, with orthologs present in a variety of mammalian species. In several studies that have mapped the evolutionary landscape of the kinome via maximum‐likelihood and phylogenetic reconstruction methods, kinases sharing key catalytic features with STK40 are consistently placed among the typical ePKs, supporting its classification as a canonical serine/threonine kinase (Bradley2019evolutionofprotein pages 8-9, Bradley2019evolutionofprotein pages 12-14, Briedis2008thedistributionand pages 113-118, Janczarek2018hankstypeserinethreonineprotein pages 3-4).</w:t>
      </w:r>
    </w:p>
    <w:p>
      <w:pPr>
        <w:numPr>
          <w:ilvl w:val="0"/>
          <w:numId w:val="1001"/>
        </w:numPr>
      </w:pPr>
      <w:r>
        <w:t xml:space="preserve">Reaction Catalyzed:</w:t>
      </w:r>
      <w:r>
        <w:br/>
      </w:r>
      <w:r>
        <w:t xml:space="preserve">STK40 catalyzes the transfer of the gamma-phosphate from ATP to the hydroxyl group of serine and/or threonine residues on substrate proteins. The chemical reaction can be represented as follows:</w:t>
      </w:r>
      <w:r>
        <w:br/>
      </w:r>
      <w:r>
        <w:t xml:space="preserve">ATP + [protein]-(L-serine or L-threonine) = ADP + [protein]-(L-serine/threonine)-phosphate + H⁺</w:t>
      </w:r>
      <w:r>
        <w:br/>
      </w:r>
      <w:r>
        <w:t xml:space="preserve">This fundamental phosphotransfer reaction is shared by all serine/threonine kinases and forms the biochemical basis for its regulatory roles in signaling pathways (Template).</w:t>
      </w:r>
    </w:p>
    <w:p>
      <w:pPr>
        <w:numPr>
          <w:ilvl w:val="0"/>
          <w:numId w:val="1001"/>
        </w:numPr>
      </w:pPr>
      <w:r>
        <w:t xml:space="preserve">Cofactor Requirements:</w:t>
      </w:r>
      <w:r>
        <w:br/>
      </w:r>
      <w:r>
        <w:t xml:space="preserve">Like many serine/threonine kinases, STK40 depends on divalent metal ions to support its catalytic activity. In particular, Mg²⁺ acts as an essential cofactor that coordinates the phosphate groups of ATP within the active site, thereby facilitating the phosphoryl transfer reaction. This requirement for Mg²⁺ is characteristic of the ePK superfamily, ensuring proper substrate binding and catalysis (Template).</w:t>
      </w:r>
    </w:p>
    <w:p>
      <w:pPr>
        <w:numPr>
          <w:ilvl w:val="0"/>
          <w:numId w:val="1001"/>
        </w:numPr>
      </w:pPr>
      <w:r>
        <w:t xml:space="preserve">Substrate Specificity:</w:t>
      </w:r>
      <w:r>
        <w:br/>
      </w:r>
      <w:r>
        <w:t xml:space="preserve">Although a definitive consensus substrate motif specific to STK40 has not been fully established in the available literature, studies of the human serine/threonine kinome suggest that kinase substrate specificity is dictated by conserved residues within the catalytic cleft and the activation loop. In large-scale analyses of substrate motifs, serine/threonine kinases generally show a substrate preference modulated by the residue at the “DFG + 1” position in the activation loop, which can determine whether phosphorylation occurs preferentially on serine or threonine residues. For STK40, it is anticipated that the pattern of substrate recognition follows this broad principle, with the active site architecture selecting substrates similar to those of its evolutionarily related kinases (Sugiyama2019largescalediscoveryof pages 6-8). As a result, while a unique motif for STK40 awaits experimental validation, its substrate specificity is likely to be in line with the general consensus of ePKs that target serine/threonine residues within defined sequence contexts.</w:t>
      </w:r>
    </w:p>
    <w:p>
      <w:pPr>
        <w:numPr>
          <w:ilvl w:val="0"/>
          <w:numId w:val="1001"/>
        </w:numPr>
      </w:pPr>
      <w:r>
        <w:t xml:space="preserve">Structure:</w:t>
      </w:r>
      <w:r>
        <w:br/>
      </w:r>
      <w:r>
        <w:t xml:space="preserve">STK40 features a conserved catalytic domain that conforms to the typical bilobal architecture seen in eukaryotic protein kinases. The N-terminal lobe is composed primarily of beta-sheets and contains a glycine-rich loop responsible for anchoring and orienting ATP, while the larger C-terminal lobe, predominantly alpha-helical, houses the catalytic loop and the activation segment. Critical residues within this domain include a conserved lysine—analogous to the K41 observed in related kinases—which is necessary for ATP binding, as well as a catalytic aspartate present in the DFG motif that coordinates divalent metal ions and facilitates phosphotransfer. Structural studies on kinases with high sequence similarity to STK40, such as those described in the identification and characterization of SSTK, have demonstrated that the protein is relatively small (approximately 30 kDa) and is composed almost exclusively of the minimal catalytic core, encompassing the N- and C-lobes with a short activation segment (Spiridonov2005identificationandcharacterization pages 2-4, Spiridonov2005identificationandcharacterization pages 4-5). Although a high-resolution crystal structure for STK40 itself may not be available, homology models based on established kinase structures suggest that its overall 3D organization, including key features such as the hydrophobic spine and the C-helix, is highly similar to that of other canonical serine/threonine kinases. Such structural conservation supports its placement within the Hanks-type kinase family and underscores the importance of these conserved features in mediating enzymatic activity (Bradley2019evolutionofprotein pages 12-14, Spiridonov2005identificationandcharacterization pages 5-7).</w:t>
      </w:r>
    </w:p>
    <w:p>
      <w:pPr>
        <w:numPr>
          <w:ilvl w:val="0"/>
          <w:numId w:val="1001"/>
        </w:numPr>
      </w:pPr>
      <w:r>
        <w:t xml:space="preserve">Regulation:</w:t>
      </w:r>
      <w:r>
        <w:br/>
      </w:r>
      <w:r>
        <w:t xml:space="preserve">The activity of STK40 is regulated through mechanisms that are common to many members of the serine/threonine kinase family. Mutagenesis studies in kinases closely related to STK40 have underscored the essential nature of certain catalytic residues—mutations at sites corresponding to the conserved lysine and aspartate within the activation loop result in complete loss of kinase activity, indicating that phosphorylation of these residues is critical for catalytic function (Spiridonov2005identificationandcharacterization pages 4-5, Spiridonov2005identificationandcharacterization pages 7-9). In addition, STK40 has been observed to form stable complexes with molecular chaperones including HSP90, HSC70, and HSP70. The association with these chaperones is thought to assist in proper protein folding, stability, and possibly subcellular localization, as reported for related kinases that exhibit chaperone-mediated regulation (Spiridonov2005identificationandcharacterization pages 5-7, Spiridonov2005identificationandcharacterization pages 9-11). Autophosphorylation is also a regulatory mechanism employed by many serine/threonine kinases to achieve full catalytic activation, and evidence from studies on SSTK parallels this observation, suggesting that STK40 may similarly utilize autophosphorylation events to modulate its activity (Spiridonov2005identificationandcharacterization pages 7-9, Spiridonov2005identificationandcharacterization pages 9-11).</w:t>
      </w:r>
    </w:p>
    <w:p>
      <w:pPr>
        <w:numPr>
          <w:ilvl w:val="0"/>
          <w:numId w:val="1001"/>
        </w:numPr>
      </w:pPr>
      <w:r>
        <w:t xml:space="preserve">Function:</w:t>
      </w:r>
      <w:r>
        <w:br/>
      </w:r>
      <w:r>
        <w:t xml:space="preserve">Two distinct functional profiles have been reported for STK40 in the literature. On one hand, annotation data as provided in protein databases attribute to STK40 the potential role of a negative regulator of NF-kappa-B and p53-mediated gene transcription, implying that it may modulate pathways involved in apoptosis, cellular stress responses, and tumor suppression. On the other hand, experimental studies on a kinase referred to as SSTK—the protein product characterized in high-profile work on male fertility—demonstrate that it is essential for spermiogenesis, where it phosphorylates specific histone substrates and thereby contributes to chromatin remodeling during sperm development. In knockout models, disruption of this kinase leads to impaired sperm morphology, defective chromatin condensation, and consequent male infertility (Spiridonov2005identificationandcharacterization pages 7-9, Spiridonov2005identificationandcharacterization pages 9-11). The existence of these apparently disparate functional annotations represents a contradiction in the current literature. One set of data, likely derived from bioinformatic annotation and transcriptional studies in cell lines, points to a role for STK40 in negative regulation of NF-κB and p53 pathways, while the experimental evidence from model organism studies emphasizes its critical function in testicular physiology and histone modification. At this stage, the published reports do not reconcile these differences, and both reported functions have been documented in peer-reviewed research (Bradley2019evolutionofprotein pages 8-9, Spiridonov2005identificationandcharacterization pages 7-9, Spiridonov2005identificationandcharacterization pages 9-11).</w:t>
      </w:r>
    </w:p>
    <w:p>
      <w:pPr>
        <w:numPr>
          <w:ilvl w:val="0"/>
          <w:numId w:val="1001"/>
        </w:numPr>
      </w:pPr>
      <w:r>
        <w:t xml:space="preserve">Other Comments:</w:t>
      </w:r>
      <w:r>
        <w:br/>
      </w:r>
      <w:r>
        <w:t xml:space="preserve">Currently, there are no selective inhibitors reported in the literature that specifically target STK40. In the absence of detailed inhibitor studies, it is not possible to assess the pharmacological modulation of STK40 with respect to its activity. Furthermore, while functional annotations have linked STK40 to processes such as NF-κB and p53 transcriptional regulation and male fertility, no specific disease mutations or clinical syndromes have been definitively associated with alterations in the STK40 gene in the available peer-reviewed sources. Researchers interested in kinase inhibitor development are advised to consult comprehensive resources such as the Chemical Probes portal and the MRC Kinase Inhibitor Database for updates on compounds that may target kinases within this family, as these resources could eventually include candidates for STK40 (Spiridonov2005identificationandcharacterization pages 7-9, Bradley2019evolutionofprotein pages 12-14).</w:t>
      </w:r>
    </w:p>
    <w:p>
      <w:pPr>
        <w:numPr>
          <w:ilvl w:val="0"/>
          <w:numId w:val="1001"/>
        </w:numPr>
      </w:pPr>
      <w:r>
        <w:t xml:space="preserve">References:</w:t>
      </w:r>
      <w:r>
        <w:br/>
      </w:r>
    </w:p>
    <w:p>
      <w:pPr>
        <w:numPr>
          <w:ilvl w:val="0"/>
          <w:numId w:val="1001"/>
        </w:numPr>
      </w:pPr>
      <w:r>
        <w:t xml:space="preserve">Bradley2019evolutionofprotein pages 8-9</w:t>
      </w:r>
      <w:r>
        <w:br/>
      </w:r>
    </w:p>
    <w:p>
      <w:pPr>
        <w:numPr>
          <w:ilvl w:val="0"/>
          <w:numId w:val="1001"/>
        </w:numPr>
      </w:pPr>
      <w:r>
        <w:t xml:space="preserve">Bradley2019evolutionofprotein pages 12-14</w:t>
      </w:r>
      <w:r>
        <w:br/>
      </w:r>
    </w:p>
    <w:p>
      <w:pPr>
        <w:numPr>
          <w:ilvl w:val="0"/>
          <w:numId w:val="1001"/>
        </w:numPr>
      </w:pPr>
      <w:r>
        <w:t xml:space="preserve">Spiridonov2005identificationandcharacterization pages 2-4</w:t>
      </w:r>
      <w:r>
        <w:br/>
      </w:r>
    </w:p>
    <w:p>
      <w:pPr>
        <w:numPr>
          <w:ilvl w:val="0"/>
          <w:numId w:val="1001"/>
        </w:numPr>
      </w:pPr>
      <w:r>
        <w:t xml:space="preserve">Spiridonov2005identificationandcharacterization pages 4-5</w:t>
      </w:r>
      <w:r>
        <w:br/>
      </w:r>
    </w:p>
    <w:p>
      <w:pPr>
        <w:numPr>
          <w:ilvl w:val="0"/>
          <w:numId w:val="1001"/>
        </w:numPr>
      </w:pPr>
      <w:r>
        <w:t xml:space="preserve">Spiridonov2005identificationandcharacterization pages 7-9</w:t>
      </w:r>
      <w:r>
        <w:br/>
      </w:r>
    </w:p>
    <w:p>
      <w:pPr>
        <w:numPr>
          <w:ilvl w:val="0"/>
          <w:numId w:val="1001"/>
        </w:numPr>
      </w:pPr>
      <w:r>
        <w:t xml:space="preserve">Spiridonov2005identificationandcharacterization pages 9-11</w:t>
      </w:r>
      <w:r>
        <w:br/>
      </w:r>
    </w:p>
    <w:p>
      <w:pPr>
        <w:numPr>
          <w:ilvl w:val="0"/>
          <w:numId w:val="1001"/>
        </w:numPr>
      </w:pPr>
      <w:r>
        <w:t xml:space="preserve">Sugiyama2019largescalediscoveryof pages 6-8</w:t>
      </w:r>
      <w:r>
        <w:br/>
      </w:r>
    </w:p>
    <w:p>
      <w:pPr>
        <w:numPr>
          <w:ilvl w:val="0"/>
          <w:numId w:val="1001"/>
        </w:numPr>
      </w:pPr>
      <w:r>
        <w:t xml:space="preserve">Janczarek2018hankstypeserinethreonineprotein pages 3-4</w:t>
      </w:r>
      <w:r>
        <w:br/>
      </w:r>
    </w:p>
    <w:p>
      <w:pPr>
        <w:numPr>
          <w:ilvl w:val="0"/>
          <w:numId w:val="1001"/>
        </w:numPr>
      </w:pPr>
      <w:r>
        <w:t xml:space="preserve">Briedis2008thedistributionand pages 113-118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