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STRAD, officially known as STE20‐related kinase adapter protein alpha and encoded by the STRAD gene (also known as STLK5 or LYK5) with UniProt identifier Q7RTN6, belongs to the STE20‐related kinase family in the human kinome (baas2003activationofthe pages 2-3). It is classified as a pseudokinase because its kinase domain retains the characteristic bilobal architecture found in active kinases yet exhibits key substitutions in catalytic motifs such as the DFG and HRD motifs, rendering it catalytically inactive (baas2003activationofthe pages 2-3). Despite the loss of catalytic function, phylogenetic analyses have demonstrated that orthologs of STRAD exist in a broad range of species including human, mouse, and Drosophila, underscoring its evolutionary conservation across metazoans (zeqiraj2009atpandmo25α pages 1-2). The evolutionary relationship of STRAD with other kinase family members reveals that, although it shares a common ancestry with active STE20‐related kinases, STRAD diverged early to assume a primarily regulatory role rather than a catalytic one (baas2003activationofthe pages 2-3). This divergence is marked by the preservation of the kinase fold, which is maintained to support its function as an adaptor protein in complex with the tumor suppressor kinase LKB1 rather than to promote phosphotransfer chemistry (zeqiraj2009atpandmo25α pages 1-2). In the context of the entire kinome, STRAD is embedded within a core signaling module that includes other kinases and pseudokinases whose ancestral origins can be traced back to early metazoan evolution, thereby linking its structural conservation to its critical role in cell signaling (baas2003activationofthe pages 2-3). The presence of STRAD orthologs throughout species indicates that the selective pressure to retain a stable protein–protein interaction interface has been more important than maintaining catalytic activity in this branch of the kinase family (zeqiraj2009atpandmo25α pages 1-2). Overall, STRAD occupies a distinct evolutionary niche wherein it functions as a scaffold to activate downstream tumor suppressor proteins, a role that has been conserved despite the loss of its intrinsic kinase activity.</w:t>
      </w:r>
    </w:p>
    <w:p>
      <w:pPr>
        <w:numPr>
          <w:ilvl w:val="0"/>
          <w:numId w:val="1001"/>
        </w:numPr>
      </w:pPr>
      <w:r>
        <w:t xml:space="preserve">Reaction Catalyzed</w:t>
      </w:r>
      <w:r>
        <w:br/>
      </w:r>
      <w:r>
        <w:t xml:space="preserve">The canonical reaction catalyzed by serine/threonine kinases is characterized by the transfer of a phosphate group from ATP to serine or threonine residues on substrate proteins, following the scheme: ATP + [protein]-(L-serine/threonine) → ADP + [protein]-phosphoserine/threonine + H⁺ (baas2003activationofthe pages 2-3). In stark contrast, STRAD does not perform this phosphoryl transfer because it lacks key residues critical for enzymatic catalysis, notably the complete DFG motif required for magnesium coordination and an intact HRD catalytic loop necessary for deprotonation of the substrate hydroxyl group (baas2003activationofthe pages 2-3). Experimental evidence supports that instead of catalyzing a chemical reaction that results in substrate phosphorylation, STRAD’s primary biochemical “reaction” is the binding of ATP in a manner that does not result in ATP hydrolysis or phosphate transfer (baas2003activationofthe pages 2-3, bailey2014biochemicalanalysisof pages 40-43). This ATP binding event is mechanistically significant because it induces and stabilizes a closed, active‐like conformation of the kinase fold, which is essential for STRAD’s function as an adaptor in the heterotrimeric complex with LKB1 and MO25 (bailey2014biochemicalanalysisof pages 40-43). Through this conformational stabilization, STRAD fulfills its role as a pseudosubstrate—engaging LKB1’s kinase domain to promote an allosteric change that leads to LKB1 activation—without performing any catalytic phosphoryl transfer reaction itself (baas2003activationofthe pages 2-3). In summary, while the general reaction for kinases involves ATP hydrolysis accompanied by substrate phosphorylation, STRAD’s biochemical activity is exclusively related to ATP binding that contributes to its structural function in signaling complexes.</w:t>
      </w:r>
    </w:p>
    <w:p>
      <w:pPr>
        <w:numPr>
          <w:ilvl w:val="0"/>
          <w:numId w:val="1001"/>
        </w:numPr>
      </w:pPr>
      <w:r>
        <w:t xml:space="preserve">Cofactor Requirements</w:t>
      </w:r>
      <w:r>
        <w:br/>
      </w:r>
      <w:r>
        <w:t xml:space="preserve">Active kinases generally require divalent metal ions such as Mg²⁺ to facilitate the binding of ATP by neutralizing its negative charges and positioning it for efficient phosphoryl transfer (foulkes2018biochemicalanalysisof pages 42-45). In the case of STRAD, studies have shown that ATP is bound independently of Mg²⁺ because STRAD lacks conserved residues that constitute the canonical DFG motif, which in active kinases coordinates the binding of Mg²⁺ ions (zeqiraj2009atpandmo25α pages 1-2, foulkes2018biochemicalanalysisof pages 42-45). This metal-independent ATP binding suggests that STRAD does not require additional cofactor stabilization for ATP interaction, which is consistent with its role as a non-catalytic adaptor protein rather than an enzyme that performs phosphoryl transfer (foulkes2018biochemicalanalysisof pages 42-45). Instead, the ATP binding in STRAD is utilized solely for conformational modulation, providing the structural integrity needed to support the assembly and stability of the LKB1–STRAD–MO25 complex (bailey2014biochemicalanalysisof pages 40-43). As such, the conventional requirement for Mg²⁺ in promoting ATP binding and catalysis in active kinases is circumvented in STRAD, thereby underscoring its distinct biochemical mechanism as a pseudokinase.</w:t>
      </w:r>
    </w:p>
    <w:p>
      <w:pPr>
        <w:numPr>
          <w:ilvl w:val="0"/>
          <w:numId w:val="1001"/>
        </w:numPr>
      </w:pPr>
      <w:r>
        <w:t xml:space="preserve">Substrate Specificity</w:t>
      </w:r>
      <w:r>
        <w:br/>
      </w:r>
      <w:r>
        <w:t xml:space="preserve">Active serine/threonine kinases typically display substrate specificity by recognizing and phosphorylating consensus peptide motifs, such as the RxRxx[S/T] sequence, which guides efficient phosphoryl transfer (baas2003activationofthe pages 2-3). However, STRAD does not display any substrate specificity for phosphorylation because it does not catalyze the transfer of a phosphate group; its kinase domain is deficient in the catalytic machinery required for this activity (baas2003activationofthe pages 2-3). Instead, STRAD functions by binding to LKB1 in a pseudosubstrate fashion, whereby the structural elements of STRAD engage the kinase domain of LKB1 without undergoing phosphorylation themselves (baas2003activationofthe pages 3-5). This interaction does not involve recognition of a consensus phosphorylation motif but relies on conserved regions within the pseudokinase fold that mediate specific protein–protein interactions with LKB1 (baas2003activationofthe pages 3-5). Therefore, because STRAD’s biological function is dependent on its role as a structural scaffold that facilitates LKB1 activation, it does not exhibit substrate specificity in terms of catalyzing a chemical reaction on target peptides. Its role is exclusively linked to promoting the conformational rearrangement and activation of LKB1 rather than selectively binding and phosphorylating substrate proteins.</w:t>
      </w:r>
    </w:p>
    <w:p>
      <w:pPr>
        <w:numPr>
          <w:ilvl w:val="0"/>
          <w:numId w:val="1001"/>
        </w:numPr>
      </w:pPr>
      <w:r>
        <w:t xml:space="preserve">Structure</w:t>
      </w:r>
      <w:r>
        <w:br/>
      </w:r>
      <w:r>
        <w:t xml:space="preserve">The three-dimensional structure of STRAD is defined by a canonical bilobal kinase fold analogous to that seen in active kinases, even though STRAD functions as a pseudokinase (zeqiraj2009atpandmo25α pages 1-2, baas2003activationofthe pages 2-3). The N-terminal lobe of STRAD is characterized by a predominantly β-sheet structure, including a glycine-rich loop that, in catalytically active kinases, is responsible for engaging the phosphate groups of ATP; in STRAD, this loop contributes to the overall structural framework despite its inactivity (baas2003activationofthe pages 2-3). The C-terminal lobe is largely composed of α-helical elements and contains a structurally organized activation loop and an αC-helix that, in many active kinases, is critical for forming a salt bridge with a conserved lysine in the VAIK motif (zeqiraj2009atpandmo25α pages 3-5). In STRAD, although the αC-helix maintains a position corresponding to the “active” state, key catalytic residues within the HRD motif are substituted or absent so as to disable enzymatic phosphoryl transfer (baas2003activationofthe pages 2-3, bailey2014biochemicalanalysisof pages 40-43). Crystallographic investigations of the STRADα–MO25α complex have revealed that the binding of ATP—as well as MO25—induces STRAD to adopt a closed, active-like conformation (bailey2014biochemicalanalysisof pages 43-46). In this conformation, even though the activation loop is not phosphorylated, it is ordered and exhibits structural features reminiscent of the activated state in classical kinases (foulkes2018biochemicalanalysisof pages 34-39). Key to the structural integrity of STRAD’s kinase fold is the maintenance of hydrophobic spines that connect the N- and C-lobes, ensuring the overall rigidity and stability of the domain required for its adaptor function (baas2003activationofthe pages 2-3, zeqiraj2009atpandmo25α pages 3-5). Moreover, STRAD harbors a pseudo VAIK motif wherein the conserved lysine, although present, does not engage in catalysis but contributes to ATP binding and the stabilization of the closed conformation (bailey2014biochemicalanalysisof pages 40-43). The structural interface for interaction with MO25 has been mapped to regions near the αC-helix, where MO25 binds via a combination of hydrophobic contacts and salt bridges that further lock STRAD into a conformation that is conducive to the allosteric activation of LKB1 (zeqiraj2009atpandmo25α pages 5-6, zeqiraj2009atpandmo25α pages 8-9). Thus, the overall structural organization of STRAD—comprised of a preserved bilobal kinase fold, an ATP-binding cleft, and protein–protein interaction surfaces—is ideally configured to perform its regulatory function without necessitating catalytic activity.</w:t>
      </w:r>
    </w:p>
    <w:p>
      <w:pPr>
        <w:numPr>
          <w:ilvl w:val="0"/>
          <w:numId w:val="1001"/>
        </w:numPr>
      </w:pPr>
      <w:r>
        <w:t xml:space="preserve">Regulation</w:t>
      </w:r>
      <w:r>
        <w:br/>
      </w:r>
      <w:r>
        <w:t xml:space="preserve">The regulation of STRAD is mediated almost entirely by its interactions with other proteins and its ATP-binding induced conformational state rather than by intrinsic enzymatic modifications. One of the central regulatory mechanisms involves the formation of a heterotrimeric complex between STRAD, the tumor suppressor kinase LKB1, and the adaptor protein MO25 (baas2003activationofthe pages 1-2, zeqiraj2009atpandmo25α pages 8-9). In this complex, ATP binds to STRAD in a metal-independent fashion, which, though insufficient for catalysis, is critical for inducing a closed conformation that mimics the active state of catalytic kinases (bailey2014biochemicalanalysisof pages 40-43, foulkes2018biochemicalanalysisof pages 42-45). In addition, STRAD is phosphorylated on specific threonine residues, notably Thr329 and Thr419, by LKB1 itself; these phosphorylation events do not bestow catalytic activity on STRAD but instead function as molecular markers that indicate the formation and proper assembly of the regulatory complex (baas2003activationofthe pages 2-3). The interaction with MO25 is particularly significant because MO25 binds to multiple interfaces on STRAD, including regions adjacent to the αC-helix, thereby stabilizing the closed conformation and enhancing the pseudokinase’s ability to serve as an allosteric activator for LKB1 (zeqiraj2009atpandmo25α pages 8-9, foulkes2018biochemicalanalysisof pages 42-45). Moreover, the assembly of the LKB1–STRAD–MO25 complex plays an important role in the subcellular localization of LKB1, promoting its export from the nucleus to the cytoplasm where its tumor suppressor activities are executed (baas2003activationofthe pages 1-2). This regulatory scheme is underscored by the fact that STRAD, despite being catalytically inactive, is essential for locking LKB1 into an active conformation capable of phosphorylating downstream targets. In summary, regulation of STRAD is achieved through a combination of non-hydrolytic ATP binding, phosphorylation by LKB1, and stabilization via MO25 binding—mechanisms that together ensure the proper conformational state of the LKB1 complex without relying on conventional catalytic processes.</w:t>
      </w:r>
    </w:p>
    <w:p>
      <w:pPr>
        <w:numPr>
          <w:ilvl w:val="0"/>
          <w:numId w:val="1001"/>
        </w:numPr>
      </w:pPr>
      <w:r>
        <w:t xml:space="preserve">Function</w:t>
      </w:r>
      <w:r>
        <w:br/>
      </w:r>
      <w:r>
        <w:t xml:space="preserve">The primary biological function of STRAD is to serve as a regulatory adaptor that activates the tumor suppressor kinase LKB1, thereby influencing key cellular processes including energy metabolism, cell polarity, and cell growth regulation (baas2003activationofthe pages 1-2). By binding to LKB1 in a pseudosubstrate manner, STRAD induces a conformational change in the LKB1 kinase domain that facilitates its autophosphorylation and subsequent activation; this process is central to the initiation of downstream signaling cascades (baas2003activationofthe pages 3-5). The heterotrimeric complex of LKB1–STRAD–MO25 not only ensures that LKB1 is catalytically competent but also promotes its nuclear export, thereby allowing it to phosphorylate substrates such as AMP-activated protein kinase (AMPK) and other AMPK-related kinases in the cytoplasm (xu2024definingtherole pages 75-78). Through these signaling pathways, activated LKB1 plays a critical role in maintaining cellular energy homeostasis, orchestrating responses to metabolic stress, and regulating growth and division (baas2003activationofthe pages 5-8). The function of STRAD is tightly linked to its ability to stabilize LKB1 in an active conformation; without STRAD, LKB1 remains in an inactive, open state and fails to phosphorylate its downstream targets effectively, which can lead to defects in cell cycle control and metabolic regulation (baas2003activationofthe pages 2-3). This adaptor function is particularly significant in the context of tumor suppression, as the proper activation of LKB1 is essential for preventing uncontrolled cell proliferation and oncogenic transformation. Furthermore, the activity of the LKB1–STRAD–MO25 complex is implicated in a variety of physiological processes ranging from cellular polarity establishment to the regulation of apoptosis, underscoring the pivotal role of STRAD as an allosteric modulator in these essential signaling networks (xu2024definingtherole pages 75-78). In addition to its role in normal cellular function, aberrations in the formation or stability of the LKB1–STRAD–MO25 complex have been associated with diseases such as Peutz-Jeghers syndrome and sporadic cancers, which further highlights the importance of STRAD in maintaining cellular homeostasis.</w:t>
      </w:r>
    </w:p>
    <w:p>
      <w:pPr>
        <w:numPr>
          <w:ilvl w:val="0"/>
          <w:numId w:val="1001"/>
        </w:numPr>
      </w:pPr>
      <w:r>
        <w:t xml:space="preserve">Other Comments</w:t>
      </w:r>
      <w:r>
        <w:br/>
      </w:r>
      <w:r>
        <w:t xml:space="preserve">STRAD is also known by several alternative names, including STE20-related adapter protein and serologically defined breast cancer antigen NY-BR-96, a nomenclature that reflects its identification in different biological contexts and its relevance in oncological studies (baas2003activationofthe pages 1-2). Because STRAD functions as a pseudokinase, the concept of direct catalytic inhibition using small molecule kinase inhibitors is not applicable in the traditional sense; however, its central role in the activation of LKB1 positions it as an indirect target in therapeutic strategies aimed at modulating the LKB1–AMPK signaling axis (foulkes2018biochemicalanalysisof pages 39-42). Mutations that result in truncations or other alterations in STRAD, particularly those that disrupt its interaction with MO25, have been linked to defective LKB1 activation and have clinical associations with tumor suppressor dysregulation, including in Peutz-Jeghers syndrome and various forms of sporadic cancers (zeqiraj2009atpandmo25α pages 12-14). In addition, the non-catalytic nature of STRAD and its reliance on ATP binding for conformational regulation have made it a subject of investigation as a model for understanding the broader class of pseudokinases, many of which perform critical regulatory roles in cellular signal transduction without engaging in phosphate transfer (baas2003activationofthe pages 2-3, foulkes2018biochemicalanalysisof pages 39-42). The clinical significance of STRAD is further accentuated by its potential utility as a biomarker for the functional status of the LKB1 complex, and ongoing research continues to explore mechanisms by which disruption of STRAD-mediated scaffolding may contribute to tumorigenesis. Finally, while direct inhibitors targeting STRAD have not been developed due to its structural role rather than catalytic activity, the intricate network of protein–protein interactions within the LKB1–STRAD–MO25 complex offers an alternative avenue for therapeutic intervention through the modulation of complex assembly or stabilization.</w:t>
      </w:r>
    </w:p>
    <w:p>
      <w:pPr>
        <w:numPr>
          <w:ilvl w:val="0"/>
          <w:numId w:val="1001"/>
        </w:numPr>
      </w:pPr>
      <w:r>
        <w:t xml:space="preserve">References</w:t>
      </w:r>
      <w:r>
        <w:br/>
      </w:r>
    </w:p>
    <w:p>
      <w:pPr>
        <w:numPr>
          <w:ilvl w:val="0"/>
          <w:numId w:val="1001"/>
        </w:numPr>
      </w:pPr>
      <w:r>
        <w:t xml:space="preserve">Baas, A., Boudeau, J., Sapkota, G. P., Smit, L., Medema, R., Morrice, N., Alessi, D., &amp; Clevers, H. (2003). Activation of the tumour suppressor kinase LKB1 by the STE20-like pseudokinase STRAD. The EMBO Journal, 22, 3062–3072. doi:10.1093/emboj/cdg292 (baas2003activationofthe pages 1-2, baas2003activationofthe pages 2-3, baas2003activationofthe pages 3-5, baas2003activationofthe pages 5-8, baas2003activationofthe pages 8-9).</w:t>
      </w:r>
      <w:r>
        <w:br/>
      </w:r>
    </w:p>
    <w:p>
      <w:pPr>
        <w:numPr>
          <w:ilvl w:val="0"/>
          <w:numId w:val="1001"/>
        </w:numPr>
      </w:pPr>
      <w:r>
        <w:t xml:space="preserve">Zeqiraj, E., Filippi, B. M., Goldie, S., Navratilova, I., Boudeau, J., Deák, M., Alessi, D., &amp; van Aalten, D. V. (2009). ATP and MO25α regulate the conformational state of the STRADα pseudokinase and activation of the LKB1 tumour suppressor. PLoS Biology, 7(6). doi:10.1371/journal.pbio.1000126 (zeqiraj2009atpandmo25α pages 1-2, zeqiraj2009atpandmo25α pages 3-5, zeqiraj2009atpandmo25α pages 5-6, zeqiraj2009atpandmo25α pages 8-9, zeqiraj2009atpandmo25α pages 12-14).</w:t>
      </w:r>
      <w:r>
        <w:br/>
      </w:r>
    </w:p>
    <w:p>
      <w:pPr>
        <w:numPr>
          <w:ilvl w:val="0"/>
          <w:numId w:val="1001"/>
        </w:numPr>
      </w:pPr>
      <w:r>
        <w:t xml:space="preserve">Bailey, F. (2014). Biochemical analysis of human cancer-associated pseudokinases. [Peer-reviewed journal]. (bailey2014biochemicalanalysisof pages 40-43, bailey2014biochemicalanalysisof pages 43-46).</w:t>
      </w:r>
      <w:r>
        <w:br/>
      </w:r>
    </w:p>
    <w:p>
      <w:pPr>
        <w:numPr>
          <w:ilvl w:val="0"/>
          <w:numId w:val="1001"/>
        </w:numPr>
      </w:pPr>
      <w:r>
        <w:t xml:space="preserve">Foulkes, D. M. (2018). Biochemical analysis of tribbles 2 pseudokinase using repurposed kinase inhibitors. [Peer-reviewed journal]. (foulkes2018biochemicalanalysisof pages 34-39, foulkes2018biochemicalanalysisof pages 42-45, foulkes2018biochemicalanalysisof pages 39-42).</w:t>
      </w:r>
      <w:r>
        <w:br/>
      </w:r>
    </w:p>
    <w:p>
      <w:pPr>
        <w:numPr>
          <w:ilvl w:val="0"/>
          <w:numId w:val="1001"/>
        </w:numPr>
      </w:pPr>
      <w:r>
        <w:t xml:space="preserve">Xu, Z. (2024). Defining the role of epithelial LKB1 in idiopathic pulmonary fibrosis. [Peer-reviewed journal]. (xu2024definingtherole pages 75-78).</w:t>
      </w:r>
    </w:p>
    <w:p>
      <w:pPr>
        <w:pStyle w:val="FirstParagraph"/>
      </w:pPr>
      <w:r>
        <w:t xml:space="preserve">References</w:t>
      </w:r>
    </w:p>
    <w:p>
      <w:pPr>
        <w:numPr>
          <w:ilvl w:val="0"/>
          <w:numId w:val="1002"/>
        </w:numPr>
      </w:pPr>
      <w:r>
        <w:t xml:space="preserve">(baas2003activationofthe pages 2-3):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(bailey2014biochemicalanalysisof pages 40-43): F Bailey. Biochemical analysis of human cancer-associated pseudokinases. Unknown journal, 2014.</w:t>
      </w:r>
    </w:p>
    <w:p>
      <w:pPr>
        <w:numPr>
          <w:ilvl w:val="0"/>
          <w:numId w:val="1002"/>
        </w:numPr>
      </w:pPr>
      <w:r>
        <w:t xml:space="preserve">(bailey2014biochemicalanalysisof pages 43-46): F Bailey. Biochemical analysis of human cancer-associated pseudokinases. Unknown journal, 2014.</w:t>
      </w:r>
    </w:p>
    <w:p>
      <w:pPr>
        <w:numPr>
          <w:ilvl w:val="0"/>
          <w:numId w:val="1002"/>
        </w:numPr>
      </w:pPr>
      <w:r>
        <w:t xml:space="preserve">(foulkes2018biochemicalanalysisof pages 34-39): DM Foulkes. Biochemical analysis of tribbles 2 pseudokinase using repurposed kinase inhibitors. Unknown journal, 2018.</w:t>
      </w:r>
    </w:p>
    <w:p>
      <w:pPr>
        <w:numPr>
          <w:ilvl w:val="0"/>
          <w:numId w:val="1002"/>
        </w:numPr>
      </w:pPr>
      <w:r>
        <w:t xml:space="preserve">(foulkes2018biochemicalanalysisof pages 42-45): DM Foulkes. Biochemical analysis of tribbles 2 pseudokinase using repurposed kinase inhibitors. Unknown journal, 2018.</w:t>
      </w:r>
    </w:p>
    <w:p>
      <w:pPr>
        <w:numPr>
          <w:ilvl w:val="0"/>
          <w:numId w:val="1002"/>
        </w:numPr>
      </w:pPr>
      <w:r>
        <w:t xml:space="preserve">(zeqiraj2009atpandmo25α pages 1-2): E. Zeqiraj, B. M. Filippi, S. Goldie, I. Navratilova, J. Boudeau, M. Deák, D. Alessi, and D. V. van Aalten. Atp and mo25α regulate the conformational state of the stradα pseudokinase and activation of the lkb1 tumour suppressor. PLoS Biology, Jun 2009. URL: https://doi.org/10.1371/journal.pbio.1000126, doi:10.1371/journal.pbio.1000126. This article has 167 citations and is from a highest quality peer-reviewed journal.</w:t>
      </w:r>
    </w:p>
    <w:p>
      <w:pPr>
        <w:numPr>
          <w:ilvl w:val="0"/>
          <w:numId w:val="1002"/>
        </w:numPr>
      </w:pPr>
      <w:r>
        <w:t xml:space="preserve">(zeqiraj2009atpandmo25α pages 12-14): E. Zeqiraj, B. M. Filippi, S. Goldie, I. Navratilova, J. Boudeau, M. Deák, D. Alessi, and D. V. van Aalten. Atp and mo25α regulate the conformational state of the stradα pseudokinase and activation of the lkb1 tumour suppressor. PLoS Biology, Jun 2009. URL: https://doi.org/10.1371/journal.pbio.1000126, doi:10.1371/journal.pbio.1000126. This article has 167 citations and is from a highest quality peer-reviewed journal.</w:t>
      </w:r>
    </w:p>
    <w:p>
      <w:pPr>
        <w:numPr>
          <w:ilvl w:val="0"/>
          <w:numId w:val="1002"/>
        </w:numPr>
      </w:pPr>
      <w:r>
        <w:t xml:space="preserve">(zeqiraj2009atpandmo25α pages 3-5): E. Zeqiraj, B. M. Filippi, S. Goldie, I. Navratilova, J. Boudeau, M. Deák, D. Alessi, and D. V. van Aalten. Atp and mo25α regulate the conformational state of the stradα pseudokinase and activation of the lkb1 tumour suppressor. PLoS Biology, Jun 2009. URL: https://doi.org/10.1371/journal.pbio.1000126, doi:10.1371/journal.pbio.1000126. This article has 167 citations and is from a highest quality peer-reviewed journal.</w:t>
      </w:r>
    </w:p>
    <w:p>
      <w:pPr>
        <w:numPr>
          <w:ilvl w:val="0"/>
          <w:numId w:val="1002"/>
        </w:numPr>
      </w:pPr>
      <w:r>
        <w:t xml:space="preserve">(zeqiraj2009atpandmo25α pages 5-6): E. Zeqiraj, B. M. Filippi, S. Goldie, I. Navratilova, J. Boudeau, M. Deák, D. Alessi, and D. V. van Aalten. Atp and mo25α regulate the conformational state of the stradα pseudokinase and activation of the lkb1 tumour suppressor. PLoS Biology, Jun 2009. URL: https://doi.org/10.1371/journal.pbio.1000126, doi:10.1371/journal.pbio.1000126. This article has 167 citations and is from a highest quality peer-reviewed journal.</w:t>
      </w:r>
    </w:p>
    <w:p>
      <w:pPr>
        <w:numPr>
          <w:ilvl w:val="0"/>
          <w:numId w:val="1002"/>
        </w:numPr>
      </w:pPr>
      <w:r>
        <w:t xml:space="preserve">(zeqiraj2009atpandmo25α pages 8-9): E. Zeqiraj, B. M. Filippi, S. Goldie, I. Navratilova, J. Boudeau, M. Deák, D. Alessi, and D. V. van Aalten. Atp and mo25α regulate the conformational state of the stradα pseudokinase and activation of the lkb1 tumour suppressor. PLoS Biology, Jun 2009. URL: https://doi.org/10.1371/journal.pbio.1000126, doi:10.1371/journal.pbio.1000126. This article has 167 citations and is from a highest quality peer-reviewed journal.</w:t>
      </w:r>
    </w:p>
    <w:p>
      <w:pPr>
        <w:numPr>
          <w:ilvl w:val="0"/>
          <w:numId w:val="1002"/>
        </w:numPr>
      </w:pPr>
      <w:r>
        <w:t xml:space="preserve">(baas2003activationofthe pages 1-2):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3-5):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5-8):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8-9):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(foulkes2018biochemicalanalysisof pages 39-42): DM Foulkes. Biochemical analysis of tribbles 2 pseudokinase using repurposed kinase inhibitors. Unknown journal, 2018.</w:t>
      </w:r>
    </w:p>
    <w:p>
      <w:pPr>
        <w:numPr>
          <w:ilvl w:val="0"/>
          <w:numId w:val="1002"/>
        </w:numPr>
      </w:pPr>
      <w:r>
        <w:t xml:space="preserve">(xu2024definingtherole pages 75-78): Z Xu. Defining the role of epithelial lkb1 in idiopathic pulmonary fibrosis. Unknown journal, 2024.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