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ompact"/>
        <w:numPr>
          <w:ilvl w:val="0"/>
          <w:numId w:val="1001"/>
        </w:numPr>
      </w:pPr>
      <w:r>
        <w:t xml:space="preserve">Phylogeny</w:t>
      </w:r>
      <w:r>
        <w:br/>
      </w:r>
      <w:r>
        <w:t xml:space="preserve">TRIB2 is a member of the Tribbles family of pseudokinases, a group of proteins that are evolutionarily conserved across metazoans. Orthologs of TRIB2 have been identified in invertebrates such as Drosophila melanogaster and are maintained in vertebrates, including mammals, where the gene is designated TRIB2 and encodes a protein of 343 amino acids (Singh2024ohdearwe pages 2-4, Cunard2013mammaliantribbleshomologs pages 1-2). Within the human pseudokinome, TRIB2 is classified alongside two other paralogs, TRIB1 and TRIB3, which share a high degree of sequence conservation in their central pseudokinase domains. Comparative sequence analyses have consistently revealed that the kinase‐like domain of TRIB2 is highly similar to that of its paralogs, while the flanking N‐ and C‐terminal regions, containing regulatory motifs, are more divergent. Phylogenetic studies indicate that the Tribbles proteins are among the more ancient regulatory proteins of the kinase superfamily, with TRIB2 being present even in early metazoan lineages; this evolutionary conservation underscores its functional importance in cellular signaling networks despite lacking robust catalytic activity (Singh2024ohdearwe pages 2-4, Fang2021tribbleshomolog2 pages 1-2, Cunard2013mammaliantribbleshomologs pages 1-2).</w:t>
      </w:r>
    </w:p>
    <w:p>
      <w:pPr>
        <w:pStyle w:val="FirstParagraph"/>
      </w:pPr>
      <w:r>
        <w:t xml:space="preserve">Further, the evolutionary relationships within the kinase superfamily place TRIB2 in a distinct subset of kinase‐like proteins that, while structurally akin to the broader family of serine/threonine kinases, have diverged to adopt non‐catalytic, adaptor, or scaffolding roles. The conservation of its pseudokinase domain, in combination with retention of specific protein interaction motifs in the C‐terminal region, highlight that TRIB2 has been under selective pressure to maintain its regulatory function rather than catalytic phosphotransfer activity. Such evolutionary adaptations support the view that TRIB2 contributes to signaling integrity through modulation of MAP kinase pathways and ubiquitin‐mediated processes rather than through classical enzymatic activity (Singh2024ohdearwe pages 2-4, Cunard2013mammaliantribbleshomologs pages 1-2).</w:t>
      </w:r>
    </w:p>
    <w:p>
      <w:pPr>
        <w:numPr>
          <w:ilvl w:val="0"/>
          <w:numId w:val="1002"/>
        </w:numPr>
      </w:pPr>
      <w:r>
        <w:t xml:space="preserve">Reaction Catalyzed</w:t>
      </w:r>
      <w:r>
        <w:br/>
      </w:r>
      <w:r>
        <w:t xml:space="preserve">In contrast to active protein kinases, which catalyze the phosphorylation of substrate proteins, TRIB2 is characterized as a pseudokinase because it does not mediate traditional ATP‐dependent phosphotransfer reactions. The canonical reaction catalyzed by serine/threonine kinases is:</w:t>
      </w:r>
      <w:r>
        <w:br/>
      </w:r>
      <w:r>
        <w:t xml:space="preserve">  ATP + [protein]-(L‑serine or L‑threonine) → ADP + [protein]-phospho(L‑serine/threonine) + H⁺</w:t>
      </w:r>
      <w:r>
        <w:br/>
      </w:r>
      <w:r>
        <w:t xml:space="preserve">However, experimental evidence indicates that TRIB2 does not efficiently catalyze this reaction. Although TRIB2 retains a conserved lysine residue in its β3 strand, its pseudokinase domain lacks other essential catalytic motifs, including a fully functional glycine-rich loop and a canonical DFG motif; instead, these regions are replaced by non-canonical sequences such as the SLE motif. Some investigations have reported that TRIB2 binds ATP and exhibits a low level of autophosphorylation in vitro under metal-independent conditions, but this activity is exceedingly weak compared to conventional kinases and is not sufficient to support classical catalytic function (Bailey2015thetribbles2 pages 1-3, Foulkes2018covalentinhibitorsof pages 1-2). Consequently, the “reaction catalyzed” by TRIB2 is best described as a negligible autophosphorylation event that does not follow the substrate phosphorylation paradigm typical of active kinases.</w:t>
      </w:r>
    </w:p>
    <w:p>
      <w:pPr>
        <w:numPr>
          <w:ilvl w:val="0"/>
          <w:numId w:val="1002"/>
        </w:numPr>
      </w:pPr>
      <w:r>
        <w:t xml:space="preserve">Cofactor Requirements</w:t>
      </w:r>
      <w:r>
        <w:br/>
      </w:r>
      <w:r>
        <w:t xml:space="preserve">Classically active kinases require divalent metal ions, primarily Mg²⁺, to facilitate the coordination of ATP and to support the phosphoryl transfer reaction. In the case of TRIB2, studies have shown that its weak autophosphorylation activity is performed in a metal-independent manner; that is, ATP binding and the subsequent autophosphorylation observed for TRIB2 do not depend on cofactors such as Mg²⁺ or Mn²⁺ (Bailey2015thetribbles2 pages 1-3, Foulkes2018covalentinhibitorsof pages 1-2). The inability of TRIB2 to engage classical divalent metal ions is directly related to the degeneracy of its catalytic motifs. Specifically, the replacement of the canonical DFG motif—with its essential aspartate required for metal ion coordination—by a non-canonical SLE sequence underlies the unusual cofactor independence seen in TRIB2. Thus, TRIB2 demonstrates an unconventional cofactor profile, whereby its ATP binding and autophosphorylation capacity operate in the absence of traditional divalent metal ion support.</w:t>
      </w:r>
    </w:p>
    <w:p>
      <w:pPr>
        <w:numPr>
          <w:ilvl w:val="0"/>
          <w:numId w:val="1002"/>
        </w:numPr>
      </w:pPr>
      <w:r>
        <w:t xml:space="preserve">Substrate Specificity</w:t>
      </w:r>
      <w:r>
        <w:br/>
      </w:r>
      <w:r>
        <w:t xml:space="preserve">Substrate specificity in active kinases is typically defined by the recognition of specific linear motifs within substrate proteins, such as the RxRxxp[ST] sequence found in many serine/threonine kinases. In contrast, TRIB2 does not possess demonstrable catalytic activity to phosphorylate substrates in a conventional manner. Instead, its functional role is primarily defined by its capacity to serve as an adaptor or scaffold protein. TRIB2 exerts substrate specificity through selective protein–protein interactions rather than by engaging in phosphotransfer reactions. It interacts with components of the MAP kinase pathway, including MEK1 and other MAPK kinases, and with E3 ubiquitin ligases such as COP1. These protein–protein interaction domains in the C-terminal region confer specificity for binding partners involved in downstream signaling events and ubiquitin-mediated degradation pathways (Zhang2025theroleof pages 14-15, Fang2021tribbleshomolog2 pages 1-2).</w:t>
      </w:r>
      <w:r>
        <w:br/>
      </w:r>
      <w:r>
        <w:t xml:space="preserve">Accordingly, the “substrate specificity” of TRIB2 is determined by its ability to recognize and bind regulatory proteins that contain complementary interaction motifs rather than by sequence motifs recognized for phosphorylation. This mode of substrate engagement enables TRIB2 to modulate key signaling cascades without relying on enzymatic phosphorylation, thus distinguishing its biological function from that of canonical kinases.</w:t>
      </w:r>
    </w:p>
    <w:p>
      <w:pPr>
        <w:numPr>
          <w:ilvl w:val="0"/>
          <w:numId w:val="1002"/>
        </w:numPr>
      </w:pPr>
      <w:r>
        <w:t xml:space="preserve">Structure</w:t>
      </w:r>
      <w:r>
        <w:br/>
      </w:r>
      <w:r>
        <w:t xml:space="preserve">The three-dimensional structure of TRIB2 is defined by a central pseudokinase domain that adopts a bilobal kinase-like fold, flanked by regulatory regions that contribute to its adaptor functions. The central domain comprises an N-terminal lobe, predominantly containing β-sheets, and a C-terminal lobe that is composed mainly of α-helices. Although this overall architecture mirrors that of active serine/threonine kinases, several key structural deviations are evident in TRIB2 that account for its pseudokinase classification.</w:t>
      </w:r>
      <w:r>
        <w:br/>
      </w:r>
      <w:r>
        <w:t xml:space="preserve">For instance, the glycine-rich loop, which in active kinases is important for ATP binding, shows significant divergence in TRIB2. Furthermore, the canonical DFG motif — essential for coordinating Mg²⁺ ions in active kinases — is replaced by an SLE motif in TRIB2, thereby precluding effective metal binding and phosphotransfer activity. Despite retaining a conserved lysine residue within the β3 strand, which in active kinases is crucial for anchoring the phosphate groups of ATP, the overall disposition of the active site in TRIB2 is altered such that catalytic efficiency is not achieved (Singh2024ohdearwe pages 2-4, Fang2021tribbleshomolog2 pages 1-2).</w:t>
      </w:r>
    </w:p>
    <w:p>
      <w:pPr>
        <w:pStyle w:val="FirstParagraph"/>
      </w:pPr>
      <w:r>
        <w:t xml:space="preserve">In addition to its pseudokinase domain, TRIB2 harbors an N-terminal region characterized by a PEST sequence that is rich in proline, serine, and threonine residues. This N-terminal segment is implicated in regulating protein turnover by marking TRIB2 for rapid degradation. The C-terminal domain of TRIB2 features conserved motifs for protein–protein interactions, including a binding site for the E3 ubiquitin ligase COP1 and an interface for association with MAPK kinases such as MEK1. These motifs facilitate TRIB2’s role as a scaffolding protein within signaling complexes, enabling the modulation of both kinase activation and protein degradation pathways (Singh2024ohdearwe pages 2-4, Zhang2025theroleof pages 14-15, Cunard2013mammaliantribbleshomologs pages 3-4).</w:t>
      </w:r>
    </w:p>
    <w:p>
      <w:pPr>
        <w:pStyle w:val="BodyText"/>
      </w:pPr>
      <w:r>
        <w:t xml:space="preserve">Computational modeling and experimental approaches, such as thermal shift assays, indicate that ATP binding induces a conformational state in TRIB2 that is compatible with its role in recruiting interacting partners, even though this binding does not result in efficient phosphotransfer. The integration of these structural and biochemical features illustrates that TRIB2 is organized to function as a regulatory molecular scaffold rather than as a classical enzyme that catalyzes phosphorylation reactions.</w:t>
      </w:r>
    </w:p>
    <w:p>
      <w:pPr>
        <w:pStyle w:val="Compact"/>
        <w:numPr>
          <w:ilvl w:val="0"/>
          <w:numId w:val="1003"/>
        </w:numPr>
      </w:pPr>
      <w:r>
        <w:t xml:space="preserve">Regulation</w:t>
      </w:r>
      <w:r>
        <w:br/>
      </w:r>
      <w:r>
        <w:t xml:space="preserve">Regulation of TRIB2 is achieved primarily through non-catalytic mechanisms, including protein–protein interactions and post-translational modifications rather than through the classical allosteric regulation observed in active kinases. One of the principal regulatory mechanisms involves the interaction of TRIB2 with E3 ubiquitin ligases, such as COP1, β-TrCP, and SMURF1, that mediate ubiquitin-dependent proteasomal degradation. The presence of a PEST sequence in the N-terminal region serves as a signal for rapid turnover and contributes to the dynamic regulation of TRIB2 protein levels within the cell (Mayoralvaro2021thecriticalrole pages 13-15, Cunard2013mammaliantribbleshomologs pages 11-12).</w:t>
      </w:r>
    </w:p>
    <w:p>
      <w:pPr>
        <w:pStyle w:val="FirstParagraph"/>
      </w:pPr>
      <w:r>
        <w:t xml:space="preserve">In addition to being controlled by ubiquitination, TRIB2 undergoes autophosphorylation in a metal-independent manner. Although the extent and functional consequences of this autophosphorylation are minimal relative to active kinases, they represent a form of self-regulation that does not rely on external cofactors (Bailey2015thetribbles2 pages 1-3, Foulkes2018covalentinhibitorsof pages 1-2). Intramolecular interactions also contribute to the regulation of TRIB2. The C-terminal tail, which contains motifs for binding COP1 and MAP kinase kinases, can engage in intramolecular interactions with the central pseudokinase domain; such interactions are believed to influence the thermal stability and oligomeric state of TRIB2 and thereby modulate its capacity to participate in signaling complexes (Foulkes2018covalentinhibitorsof pages 11-12, Cunard2013mammaliantribbleshomologs pages 11-12).</w:t>
      </w:r>
    </w:p>
    <w:p>
      <w:pPr>
        <w:pStyle w:val="BodyText"/>
      </w:pPr>
      <w:r>
        <w:t xml:space="preserve">Furthermore, TRIB2 interacts with key signaling molecules such as MEK1 and catalytically inactive forms of AKT, thereby indirectly affecting the activation states of these pathways. Regulation at the transcriptional level is also evident, with TRIB2 expression being modulated in response to stimuli that alter MAP kinase signaling and ubiquitin-mediated degradation. Together, these post-translational and transcriptional regulatory mechanisms ensure that TRIB2 levels and activity are tightly controlled, enabling precise modulation of downstream signaling events without reliance on classical kinase activation mechanisms.</w:t>
      </w:r>
    </w:p>
    <w:p>
      <w:pPr>
        <w:pStyle w:val="Compact"/>
        <w:numPr>
          <w:ilvl w:val="0"/>
          <w:numId w:val="1004"/>
        </w:numPr>
      </w:pPr>
      <w:r>
        <w:t xml:space="preserve">Function</w:t>
      </w:r>
      <w:r>
        <w:br/>
      </w:r>
      <w:r>
        <w:t xml:space="preserve">Functionally, TRIB2 acts as a regulatory adaptor within cellular signaling networks, exerting its effects primarily through protein–protein interactions rather than via direct catalytic activity. One of the principal roles of TRIB2 is the modulation of MAP kinase pathways. By binding to components such as MEK1 and other MAPK kinases, TRIB2 is able to influence the activation of these kinases and thereby regulate downstream signaling events that affect cell proliferation, differentiation, and survival (Fang2021tribbleshomolog2 pages 1-2, Mayoralvaro2021thecriticalrole pages 1-2).</w:t>
      </w:r>
    </w:p>
    <w:p>
      <w:pPr>
        <w:pStyle w:val="FirstParagraph"/>
      </w:pPr>
      <w:r>
        <w:t xml:space="preserve">Beyond its involvement in MAPK regulation, TRIB2 has been implicated in the ubiquitin-mediated degradation of transcription factors. For instance, TRIB2 interacts with E3 ubiquitin ligases such as COP1 to facilitate the degradation of proteins like C/EBPα, thereby affecting cell cycle progression and differentiation. This function is particularly relevant in the context of oncogenesis, where altered TRIB2 expression contributes to malignant phenotypes by disrupting the normal balance of transcriptional regulators involved in cellular differentiation and proliferation (Mayoralvaro2021thecriticalrole pages 7-8, Zhang2025theroleof pages 14-15).</w:t>
      </w:r>
    </w:p>
    <w:p>
      <w:pPr>
        <w:pStyle w:val="BodyText"/>
      </w:pPr>
      <w:r>
        <w:t xml:space="preserve">TRIB2 is expressed in a range of tissues and appears to be involved in the fine-tuning of several key signaling cascades. In addition to its role in MAPK pathway modulation and ubiquitin-mediated proteolysis, TRIB2 has been reported to engage with components of the PI3K-Akt signaling cascade, where it may influence the activation status of Akt and contribute to the regulation of metabolic and survival pathways. Although the direct consequences of these interactions are not fully elucidated, they underscore the multifaceted role of TRIB2 as a central regulator of cell signaling. The ability of TRIB2 to form homo- and heterodimeric complexes with other Tribbles family members further expands the repertoire of its functional interactions, allowing it to coordinate input from multiple signaling pathways to achieve precise regulatory outcomes (Cunard2013mammaliantribbleshomologs pages 10-11, HernandezQuiles2021comprehensiveprofilingof pages 9-10).</w:t>
      </w:r>
    </w:p>
    <w:p>
      <w:pPr>
        <w:pStyle w:val="BodyText"/>
      </w:pPr>
      <w:r>
        <w:t xml:space="preserve">In oncogenic contexts, overexpression of TRIB2 has been correlated with enhanced cell proliferation, resistance to chemotherapeutic agents, and poor patient prognosis. Its role in promoting the degradation of differentiation-inducing transcription factors and in modulating kinase signaling pathways positions TRIB2 as a key contributor to tumorigenesis in cancers such as acute myeloid leukemia, melanoma, and colorectal cancer (Mayoralvaro2021thecriticalrole pages 5-7, Zhang2025theroleof pages 14-15). These functions underscore the importance of TRIB2 as a regulatory node that integrates signals from multiple pathways to control cellular outcomes.</w:t>
      </w:r>
    </w:p>
    <w:p>
      <w:pPr>
        <w:pStyle w:val="Compact"/>
        <w:numPr>
          <w:ilvl w:val="0"/>
          <w:numId w:val="1005"/>
        </w:numPr>
      </w:pPr>
      <w:r>
        <w:t xml:space="preserve">Other Comments</w:t>
      </w:r>
      <w:r>
        <w:br/>
      </w:r>
      <w:r>
        <w:t xml:space="preserve">TRIB2 has emerged as a protein of interest in therapeutic research due to its involvement in oncogenic signaling and its potential as a biomarker for cancer progression. Investigations have demonstrated that TRIB2 is druggable; in particular, covalent inhibitors originally developed to target EGFR family kinases have been shown to bind TRIB2 and promote its degradation, thereby affecting the stability of its associated signaling complexes (Foulkes2018covalentinhibitorsof pages 2-3, Mayoralvaro2021thecriticalrole pages 7-8). While these inhibitors are not exclusively selective for TRIB2, their ability to modulate TRIB2 protein levels has provided proof-of-concept support for targeting this pseudokinase in a clinical setting.</w:t>
      </w:r>
    </w:p>
    <w:p>
      <w:pPr>
        <w:pStyle w:val="FirstParagraph"/>
      </w:pPr>
      <w:r>
        <w:t xml:space="preserve">No specific disease-causing mutations have been consistently reported within the TRIB2 gene; however, changes in TRIB2 expression and post-translational regulation are commonly observed in tumors. Elevated TRIB2 levels have been correlated with aggressive cancer phenotypes and resistance to standard therapies in various malignancies. In addition, TRIB2 is integrated into broader signaling networks that include the mTOR and MAPK pathways, further emphasizing its role in cellular proliferation, survival, and metabolic regulation. The absence of classical kinase activity in TRIB2, combined with its reliance on protein–protein interactions for function, presents both challenges and opportunities for drug development. Researchers are exploring strategies to disrupt these interactions or to enhance the ubiquitin-mediated degradation of TRIB2 as potential therapeutic approaches.</w:t>
      </w:r>
    </w:p>
    <w:p>
      <w:pPr>
        <w:pStyle w:val="BodyText"/>
      </w:pPr>
      <w:r>
        <w:t xml:space="preserve">From a diagnostic perspective, TRIB2 may serve as a biomarker for certain cancers, with its expression levels potentially reflecting the activation state of underlying oncogenic signaling pathways. The unique structural features of TRIB2, such as its degenerate ATP binding site and regulatory domains, also offer avenues for the development of targeted therapies that differ mechanistically from those aimed at catalytically active kinases (Zhang2025theroleof pages 14-15, Fang2021tribbleshomolog2 pages 1-2). Overall, TRIB2 exemplifies a class of proteins whose regulatory roles in signal transduction are mediated through non-catalytic mechanisms, a paradigm that is increasingly recognized as critical for maintaining cellular homeostasis and implicated in disease pathology.</w:t>
      </w:r>
    </w:p>
    <w:p>
      <w:pPr>
        <w:pStyle w:val="Compact"/>
        <w:numPr>
          <w:ilvl w:val="0"/>
          <w:numId w:val="1006"/>
        </w:numPr>
      </w:pPr>
      <w:r>
        <w:t xml:space="preserve">References</w:t>
      </w:r>
      <w:r>
        <w:br/>
      </w:r>
    </w:p>
    <w:p>
      <w:pPr>
        <w:pStyle w:val="Compact"/>
        <w:numPr>
          <w:ilvl w:val="0"/>
          <w:numId w:val="1006"/>
        </w:numPr>
      </w:pPr>
      <w:r>
        <w:t xml:space="preserve">Dobens2021controlofcell pages 2-4</w:t>
      </w:r>
      <w:r>
        <w:br/>
      </w:r>
    </w:p>
    <w:p>
      <w:pPr>
        <w:pStyle w:val="Compact"/>
        <w:numPr>
          <w:ilvl w:val="0"/>
          <w:numId w:val="1006"/>
        </w:numPr>
      </w:pPr>
      <w:r>
        <w:t xml:space="preserve">Fang2021tribbleshomolog2 pages 1-2</w:t>
      </w:r>
      <w:r>
        <w:br/>
      </w:r>
    </w:p>
    <w:p>
      <w:pPr>
        <w:pStyle w:val="Compact"/>
        <w:numPr>
          <w:ilvl w:val="0"/>
          <w:numId w:val="1006"/>
        </w:numPr>
      </w:pPr>
      <w:r>
        <w:t xml:space="preserve">Mayoralvaro2021thecriticalrole pages 1-2</w:t>
      </w:r>
      <w:r>
        <w:br/>
      </w:r>
    </w:p>
    <w:p>
      <w:pPr>
        <w:pStyle w:val="Compact"/>
        <w:numPr>
          <w:ilvl w:val="0"/>
          <w:numId w:val="1006"/>
        </w:numPr>
      </w:pPr>
      <w:r>
        <w:t xml:space="preserve">Mayoralvaro2021thecriticalrole pages 11-12</w:t>
      </w:r>
      <w:r>
        <w:br/>
      </w:r>
    </w:p>
    <w:p>
      <w:pPr>
        <w:pStyle w:val="Compact"/>
        <w:numPr>
          <w:ilvl w:val="0"/>
          <w:numId w:val="1006"/>
        </w:numPr>
      </w:pPr>
      <w:r>
        <w:t xml:space="preserve">Mayoralvaro2021thecriticalrole pages 12-13</w:t>
      </w:r>
      <w:r>
        <w:br/>
      </w:r>
    </w:p>
    <w:p>
      <w:pPr>
        <w:pStyle w:val="Compact"/>
        <w:numPr>
          <w:ilvl w:val="0"/>
          <w:numId w:val="1006"/>
        </w:numPr>
      </w:pPr>
      <w:r>
        <w:t xml:space="preserve">Mayoralvaro2021thecriticalrole pages 13-15</w:t>
      </w:r>
      <w:r>
        <w:br/>
      </w:r>
    </w:p>
    <w:p>
      <w:pPr>
        <w:pStyle w:val="Compact"/>
        <w:numPr>
          <w:ilvl w:val="0"/>
          <w:numId w:val="1006"/>
        </w:numPr>
      </w:pPr>
      <w:r>
        <w:t xml:space="preserve">Mayoralvaro2021thecriticalrole pages 7-8</w:t>
      </w:r>
      <w:r>
        <w:br/>
      </w:r>
    </w:p>
    <w:p>
      <w:pPr>
        <w:pStyle w:val="Compact"/>
        <w:numPr>
          <w:ilvl w:val="0"/>
          <w:numId w:val="1006"/>
        </w:numPr>
      </w:pPr>
      <w:r>
        <w:t xml:space="preserve">Cunard2013mammaliantribbleshomologs pages 1-2</w:t>
      </w:r>
      <w:r>
        <w:br/>
      </w:r>
    </w:p>
    <w:p>
      <w:pPr>
        <w:pStyle w:val="Compact"/>
        <w:numPr>
          <w:ilvl w:val="0"/>
          <w:numId w:val="1006"/>
        </w:numPr>
      </w:pPr>
      <w:r>
        <w:t xml:space="preserve">Cunard2013mammaliantribbleshomologs pages 10-11</w:t>
      </w:r>
      <w:r>
        <w:br/>
      </w:r>
    </w:p>
    <w:p>
      <w:pPr>
        <w:pStyle w:val="Compact"/>
        <w:numPr>
          <w:ilvl w:val="0"/>
          <w:numId w:val="1006"/>
        </w:numPr>
      </w:pPr>
      <w:r>
        <w:t xml:space="preserve">Cunard2013mammaliantribbleshomologs pages 11-12</w:t>
      </w:r>
      <w:r>
        <w:br/>
      </w:r>
    </w:p>
    <w:p>
      <w:pPr>
        <w:pStyle w:val="Compact"/>
        <w:numPr>
          <w:ilvl w:val="0"/>
          <w:numId w:val="1006"/>
        </w:numPr>
      </w:pPr>
      <w:r>
        <w:t xml:space="preserve">Cunard2013mammaliantribbleshomologs pages 3-4</w:t>
      </w:r>
      <w:r>
        <w:br/>
      </w:r>
    </w:p>
    <w:p>
      <w:pPr>
        <w:pStyle w:val="Compact"/>
        <w:numPr>
          <w:ilvl w:val="0"/>
          <w:numId w:val="1006"/>
        </w:numPr>
      </w:pPr>
      <w:r>
        <w:t xml:space="preserve">HernandezQuiles2021comprehensiveprofilingof pages 1-2</w:t>
      </w:r>
      <w:r>
        <w:br/>
      </w:r>
    </w:p>
    <w:p>
      <w:pPr>
        <w:pStyle w:val="Compact"/>
        <w:numPr>
          <w:ilvl w:val="0"/>
          <w:numId w:val="1006"/>
        </w:numPr>
      </w:pPr>
      <w:r>
        <w:t xml:space="preserve">HernandezQuiles2021comprehensiveprofilingof pages 18-19</w:t>
      </w:r>
      <w:r>
        <w:br/>
      </w:r>
    </w:p>
    <w:p>
      <w:pPr>
        <w:pStyle w:val="Compact"/>
        <w:numPr>
          <w:ilvl w:val="0"/>
          <w:numId w:val="1006"/>
        </w:numPr>
      </w:pPr>
      <w:r>
        <w:t xml:space="preserve">HernandezQuiles2021comprehensiveprofilingof pages 4-5</w:t>
      </w:r>
      <w:r>
        <w:br/>
      </w:r>
    </w:p>
    <w:p>
      <w:pPr>
        <w:pStyle w:val="Compact"/>
        <w:numPr>
          <w:ilvl w:val="0"/>
          <w:numId w:val="1006"/>
        </w:numPr>
      </w:pPr>
      <w:r>
        <w:t xml:space="preserve">HernandezQuiles2021comprehensiveprofilingof pages 9-10</w:t>
      </w:r>
      <w:r>
        <w:br/>
      </w:r>
    </w:p>
    <w:p>
      <w:pPr>
        <w:pStyle w:val="Compact"/>
        <w:numPr>
          <w:ilvl w:val="0"/>
          <w:numId w:val="1006"/>
        </w:numPr>
      </w:pPr>
      <w:r>
        <w:t xml:space="preserve">Singh2024ohdearwe pages 2-4</w:t>
      </w:r>
      <w:r>
        <w:br/>
      </w:r>
    </w:p>
    <w:p>
      <w:pPr>
        <w:pStyle w:val="Compact"/>
        <w:numPr>
          <w:ilvl w:val="0"/>
          <w:numId w:val="1006"/>
        </w:numPr>
      </w:pPr>
      <w:r>
        <w:t xml:space="preserve">Zhang2025theroleof pages 14-15</w:t>
      </w:r>
      <w:r>
        <w:br/>
      </w:r>
    </w:p>
    <w:p>
      <w:pPr>
        <w:pStyle w:val="Compact"/>
        <w:numPr>
          <w:ilvl w:val="0"/>
          <w:numId w:val="1006"/>
        </w:numPr>
      </w:pPr>
      <w:r>
        <w:t xml:space="preserve">Foulkes2018covalentinhibitorsof pages 1-2</w:t>
      </w:r>
      <w:r>
        <w:br/>
      </w:r>
    </w:p>
    <w:p>
      <w:pPr>
        <w:pStyle w:val="Compact"/>
        <w:numPr>
          <w:ilvl w:val="0"/>
          <w:numId w:val="1006"/>
        </w:numPr>
      </w:pPr>
      <w:r>
        <w:t xml:space="preserve">Foulkes2018covalentinhibitorsof pages 11-12</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2025-06-18T18:52:46Z</dcterms:created>
  <dcterms:modified xsi:type="dcterms:W3CDTF">2025-06-18T18:52:46Z</dcterms:modified>
</cp:coreProperties>
</file>

<file path=docProps/custom.xml><?xml version="1.0" encoding="utf-8"?>
<Properties xmlns="http://schemas.openxmlformats.org/officeDocument/2006/custom-properties" xmlns:vt="http://schemas.openxmlformats.org/officeDocument/2006/docPropsVTypes"/>
</file>