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WNK4 (PRKWNK4, UniProt Q96J92) is a member of the “With No Lysine” (WNK) kinase subfamily that falls within a distinct branch of the eukaryotic serine/threonine protein kinase superfamily (kahle2008molecularphysiologyof pages 4-5). WNK4 and its paralogs are evolutionarily derived from an ancient gene duplication event that occurred with the emergence of multicellularity, implying that the WNK kinases have been maintained throughout evolution to satisfy increased regulatory demands in complex organisms (moniz2010emergingrolesfor pages 1-2). Comparative analyses of the catalytic domains reveal that WNK kinases uniquely reposition the catalytic lysine from the canonical subdomain II to subdomain I, a feature that not only distinguishes them biochemically but also reflects their evolutionary divergence from classical kinases (verissimo2001wnkkinasesa pages 1-2). In simple invertebrates such as Caenorhabditis elegans and Drosophila melanogaster a single WNK‐related gene is typically present, whereas vertebrates have evolved four distinct paralogs—WNK1, WNK2, WNK3, and WNK4—to fine‑tune processes including ion homeostasis and cell volume regulation (verissimo2001wnkkinasesa pages 5-7). This expansion in the number of WNK family members in vertebrates is thought to parallel the evolution of intricate renal and ion‐transport systems, with WNK4 emerging as a key component optimized for the precise control of electrolyte balance in specialized tissues such as the distal nephron (murthy2017wnksignallingpathways pages 1-3). The invariant repositioning of the catalytic lysine and the conservation of certain modular domains among WNK family members underscore their shared ancestry, while subtle sequence differences account for their functional specializations within complex organisms (kahle2008molecularphysiologyof pages 4-5). Phylogenetic studies based on sequence alignments and domain architectures consistently place WNK4 within a clade of atypical kinases that are conserved from lower metazoans through to mammals, reflecting an evolutionary pressure to maintain regulators of critical physiological processes such as ion transport and blood pressure control (moniz2010emergingrolesfor pages 1-2).</w:t>
      </w:r>
    </w:p>
    <w:p>
      <w:pPr>
        <w:numPr>
          <w:ilvl w:val="0"/>
          <w:numId w:val="1001"/>
        </w:numPr>
      </w:pPr>
      <w:r>
        <w:t xml:space="preserve">Reaction Catalyzed</w:t>
      </w:r>
      <w:r>
        <w:br/>
      </w:r>
      <w:r>
        <w:t xml:space="preserve">WNK4 catalyzes the classical phosphoryl transfer reaction characteristic of serine/threonine kinases, in which the γ-phosphate from ATP is transferred to the hydroxyl group of a specific serine or threonine residue on a substrate protein (yagi2009kineticmechanismand pages 1-2). In this enzymatic process, ATP is hydrolyzed to ADP, and the substrate is phosphorylated, releasing a proton (H⁺) as a by-product; this can be formally represented by the equation:</w:t>
      </w:r>
      <w:r>
        <w:br/>
      </w:r>
      <w:r>
        <w:t xml:space="preserve">  ATP + [protein]–OH → ADP + [protein]–OPO₃ + H⁺ (kahle2008molecularphysiologyof pages 4-5).</w:t>
      </w:r>
      <w:r>
        <w:br/>
      </w:r>
      <w:r>
        <w:t xml:space="preserve">The distinctive architecture of the WNK4 catalytic domain—marked by the atypical positioning of its catalytic lysine—ensures that ATP binds in a well‐defined orientation that facilitates the efficient transfer of the phosphoryl group (yagi2009kineticmechanismand pages 1-2). This ATP‐dependent reaction is central to WNK4’s role as a molecular switch in the WNK4-SPAK/OSR1 kinase cascade, where the phosphorylated substrates include downstream effector kinases whose activation ultimately modulates the activity of ion cotransporters (vitari2005thewnk1and pages 1-2).</w:t>
      </w:r>
    </w:p>
    <w:p>
      <w:pPr>
        <w:numPr>
          <w:ilvl w:val="0"/>
          <w:numId w:val="1001"/>
        </w:numPr>
      </w:pPr>
      <w:r>
        <w:t xml:space="preserve">Cofactor Requirements</w:t>
      </w:r>
      <w:r>
        <w:br/>
      </w:r>
      <w:r>
        <w:t xml:space="preserve">The catalytic activity of WNK4 is strictly dependent on the presence of divalent cations, with magnesium ions (Mg²⁺) serving as an essential cofactor in the phosphorylation reaction (na2012diseasecausingmutationsin pages 2-4). Mg²⁺ is required for the formation of an ATP-Mg²⁺ complex that neutralizes the negative charges on the phosphate groups of ATP, thereby aiding in its effective binding to the kinase’s atypical active site (na2012diseasecausingmutationsin pages 2-4). The Mg²⁺ ion also plays a critical role in stabilizing the transition state during the phosphoryl transfer event, ensuring that the reaction proceeds with a high degree of catalytic efficiency (na2012diseasecausingmutationsin pages 2-4). In vitro kinase assays consistently demonstrate that the inclusion of Mg²⁺ in the reaction buffer is indispensable for observable kinase activity, emphasizing its universal requirement among serine/threonine kinases such as WNK4 (na2012diseasecausingmutationsin pages 2-4).</w:t>
      </w:r>
    </w:p>
    <w:p>
      <w:pPr>
        <w:numPr>
          <w:ilvl w:val="0"/>
          <w:numId w:val="1001"/>
        </w:numPr>
      </w:pPr>
      <w:r>
        <w:t xml:space="preserve">Substrate Specificity</w:t>
      </w:r>
      <w:r>
        <w:br/>
      </w:r>
      <w:r>
        <w:t xml:space="preserve">WNK4 exhibits a defined substrate specificity that is instrumental in its ability to regulate downstream signaling pathways involved in ion transport. The kinase preferentially phosphorylates serine or threonine residues located in key regulatory domains of its substrates, a specificity that is particularly evident in its phosphorylation of the downstream kinases OSR1 and SPAK (ring2007ansgk1site pages 1-2). In these target proteins, phosphorylation occurs on conserved threonine residues within their activation loops, modifications that are essential for the activation of their catalytic functions (mccormick2011thewnksatypical pages 11-12). Although the complete consensus phosphorylation motif recognized by WNK4 has not been fully delineated, current experimental evidence indicates that substrate recognition involves contributions from flanking amino acids that provide an appropriate charge distribution and structural context to facilitate efficient binding and phosphoryl transfer (ring2007ansgk1site pages 1-2). The unique configuration of the ATP-binding pocket in WNK4, a direct consequence of the repositioned catalytic lysine, further refines the alignment of substrate peptides and contributes to its overall specificity and fidelity in phosphorylating the appropriate serine/threonine residues (mccormick2011thewnksatypical pages 11-12).</w:t>
      </w:r>
    </w:p>
    <w:p>
      <w:pPr>
        <w:numPr>
          <w:ilvl w:val="0"/>
          <w:numId w:val="1001"/>
        </w:numPr>
      </w:pPr>
      <w:r>
        <w:t xml:space="preserve">Structure</w:t>
      </w:r>
      <w:r>
        <w:br/>
      </w:r>
      <w:r>
        <w:t xml:space="preserve">WNK4 is organized in a modular fashion that integrates a catalytic domain with multiple regulatory regions engineered for protein–protein interactions and conformational control. The N-terminal portion of WNK4 contains its kinase domain, which is unusual among serine/threonine kinases due to the absence of the conserved lysine at subdomain II; instead, a lysine residue located in subdomain I fulfills the essential role of stabilizing ATP binding (kahle2008molecularphysiologyof pages 4-5, verissimo2001wnkkinasesa pages 4-5). This catalytic domain exhibits a bipartite structure consisting of a smaller N-terminal lobe dominated by anticodon β-sheets and a larger C-terminal lobe enriched in α-helices; together, these lobes configure the active site and form the core that executes ATP binding and phosphoryl transfer (iv2022cctandcctlike pages 2-4). A critical component of this domain is the activation loop, whose autophosphorylation is necessary for stabilizing the active conformation of WNK4 and for promoting engagement with substrate proteins (iv2022cctandcctlike pages 42-44). Structural studies, including those employing crystallographic methods and computational predictions from AlphaFold, indicate that the active site of WNK4 is relatively solvent accessible compared to classical kinases, a characteristic that likely contributes to its distinctive substrate interactions and potential avenues for inhibitor binding (iv2022cctandcctlike pages 8-10).</w:t>
      </w:r>
    </w:p>
    <w:p>
      <w:pPr>
        <w:pStyle w:val="FirstParagraph"/>
      </w:pPr>
      <w:r>
        <w:t xml:space="preserve">Beyond the catalytic core, the C-terminal half of WNK4 comprises several regulatory modules involved in mediating protein–protein interactions and in modulating kinase activity. Notably, this region contains multiple coiled-coil domains that function as scaffolds, enabling WNK4 to assemble into multi-protein complexes with its downstream effectors SPAK and OSR1 as well as with other regulatory proteins implicated in ionic balance and protein degradation (iv2022cctandcctlike pages 35-37). Also embedded within the structure are CCT-like (conserved C-terminal) domains that are critical for docking interactions with specific peptide motifs found in substrates and binding partners; these domains mediate selective interactions with residues conforming to motifs such as R-x-F-x-V/I, which are observed in downstream kinases and certain ion transporters (iv2022cctandcctlike pages 12-13, iv2022cctandcctlike pages 22-24). The spatial arrangement of these domains, as revealed by both experimental data and structural models, suggests that WNK4 functions not only as a catalytic enzyme but also as a regulatory hub, capable of integrating multiple signaling inputs through changes in its quaternary structure (iv2022cctandcctlike pages 32-34). Additionally, autoinhibitory segments lying adjacent to the kinase domain contribute an extra level of conformational control by maintaining WNK4 in a low-activity state under basal conditions; disruption of these segments, either through phosphorylation or mutations, can lead to enhanced enzymatic activity (iv2022cctandcctlike pages 37-39). Collectively, the 3D structural organization of WNK4—with its uniquely configured kinase domain, activation loop, coiled-coil assemblers, and CCT-like docking sites—underpins its multifaceted role in modulating ion transport signaling pathways at the molecular level (verissimo2001wnkkinasesa pages 5-7, iv2022cctandcctlike pages 42-44).</w:t>
      </w:r>
    </w:p>
    <w:p>
      <w:pPr>
        <w:pStyle w:val="Compact"/>
        <w:numPr>
          <w:ilvl w:val="0"/>
          <w:numId w:val="1002"/>
        </w:numPr>
      </w:pPr>
      <w:r>
        <w:t xml:space="preserve">Regulation</w:t>
      </w:r>
      <w:r>
        <w:br/>
      </w:r>
      <w:r>
        <w:t xml:space="preserve">The regulation of WNK4 is governed by a multilayered network of post‑translational modifications and protein–protein interactions that enable it to respond dynamically to intracellular and extracellular cues. A principal mechanism of regulation is autophosphorylation of the activation loop, an event that potentiates kinase activity and transitions WNK4 from a basal to an active state (mccormick2011thewnksatypical pages 1-2, vitari2005thewnk1and pages 1-2). In addition to its intrinsic autophosphorylation capability, WNK4 is subject to regulation by upstream kinases such as serum/glucocorticoid-regulated kinase 1 (SGK1); phosphorylation by SGK1 has been shown to modulate WNK4’s interactions with downstream substrates and to alleviate inhibitory constraints on its catalytic activity (ring2007ansgk1site pages 1-2, mccormick2011thewnksatypical pages 11-12).</w:t>
      </w:r>
    </w:p>
    <w:p>
      <w:pPr>
        <w:pStyle w:val="FirstParagraph"/>
      </w:pPr>
      <w:r>
        <w:t xml:space="preserve">A unique aspect of WNK4 regulation is its sensitivity to intracellular chloride ion concentrations. Chloride ions bind directly to a specific sensor within the kinase domain, thereby stabilizing an autoinhibited conformation that prevents autophosphorylation under conditions of chloride abundance (kahle2008molecularphysiologyof pages 4-5). When intracellular chloride levels fall, this inhibitory binding is relieved, permitting autophosphorylation and consequent activation of the kinase, thus linking WNK4 activity directly to the ionic environment of the cell (murthy2017wnksignallingpathways pages 3-4). Furthermore, WNK4 is also regulated through protein–protein interactions mediated by its coiled-coil and CCT-like domains; these modular regions facilitate the assembly of signaling complexes that include downstream effectors such as SPAK and OSR1, as well as components of the ubiquitin–proteasome system that target WNK4 for degradation (iv2022cctandcctlike pages 35-37).</w:t>
      </w:r>
    </w:p>
    <w:p>
      <w:pPr>
        <w:pStyle w:val="BodyText"/>
      </w:pPr>
      <w:r>
        <w:t xml:space="preserve">Additional layers of regulation involve the action of enzymes that catalyze tyrosine phosphorylation on WNK4, modulating its interactions with potassium channels like ROMK and fine‑tuning its inhibitory role in ion transport (lin2022theposttranslationalmodification pages 2-3). Evidence from mutational studies indicates that disruption of key phosphorylation sites—whether by loss of autophosphorylation or aberrant phosphorylation by upstream kinases—can lead to dysregulated WNK4 activity, thereby perturbing the balance of sodium and potassium transport in renal cells (maruyama2016osmoticstressinduces pages 9-11). Collectively, the regulatory mechanisms controlling WNK4 encompass autophosphorylation, heterologous phosphorylation by kinases such as SGK1, modulation by intracellular chloride, and critical protein–protein interaction events that together ensure that the enzyme functions as an effective molecular switch in response to changing cellular conditions.</w:t>
      </w:r>
    </w:p>
    <w:p>
      <w:pPr>
        <w:pStyle w:val="Compact"/>
        <w:numPr>
          <w:ilvl w:val="0"/>
          <w:numId w:val="1003"/>
        </w:numPr>
      </w:pPr>
      <w:r>
        <w:t xml:space="preserve">Function</w:t>
      </w:r>
      <w:r>
        <w:br/>
      </w:r>
      <w:r>
        <w:t xml:space="preserve">WNK4 plays a pivotal role in the regulation of electrolyte and fluid homeostasis, principally by orchestrating a kinase cascade that modulates the activity of ion transport proteins in the kidney. Expressed predominantly in the distal segments of the nephron—most notably the distal convoluted tubule (DCT) and the cortical collecting duct—WNK4 is fundamental to the fine‑tuning of sodium chloride reabsorption and potassium secretion (kahle2008molecularphysiologyof pages 4-5). The kinase accomplishes this by phosphorylating and thereby activating downstream effector kinases such as OSR1 and SPAK, which in turn phosphorylate key cotransporters in the SLC12 family including the thiazide-sensitive Na⁺-Cl⁻ cotransporter (NCC) and members of the NKCC family (vitari2005thewnk1and pages 1-2). The resultant cascade of phosphorylation events regulates the trafficking, surface expression, and transport activity of these ion transporters, thus exerting a direct influence on renal salt reabsorption and overall blood pressure regulation (murthy2017wnksignallingpathways pages 1-3).</w:t>
      </w:r>
    </w:p>
    <w:p>
      <w:pPr>
        <w:pStyle w:val="FirstParagraph"/>
      </w:pPr>
      <w:r>
        <w:t xml:space="preserve">In addition to its role in sodium chloride reabsorption, WNK4 exerts control over potassium homeostasis by modulating the activity of renal potassium channels, most notably ROMK. By influencing ROMK function, WNK4 helps coordinate the delicate balance between sodium uptake and potassium secretion, which is essential for maintaining proper electrolyte equilibrium and cardiovascular stability (ring2007ansgk1site pages 1-2). Tissue‑specific expression studies have demonstrated that WNK4 is enriched in kidney epithelial cells, where its subcellular localization—often at intercellular junctions—facilitates the formation of signaling complexes that integrate hormonal and ionic signals (kahle2008molecularphysiologyof pages 4-5).</w:t>
      </w:r>
    </w:p>
    <w:p>
      <w:pPr>
        <w:pStyle w:val="BodyText"/>
      </w:pPr>
      <w:r>
        <w:t xml:space="preserve">Beyond direct modulation of ion transporter activity, WNK4 functions as a nodal point within broader hormonal signaling networks. For instance, it participates in pathways regulated by aldosterone and angiotensin II, integrating these hormonal cues with intracellular ionic conditions to modulate the activities of transporters and channels critical for maintaining extracellular fluid volume and blood pressure (murthy2017wnksignallingpathways pages 1-3). This dual capacity to act both as a catalyst for signal propagation and as a scaffold for the assembly of multi-protein regulatory complexes underscores the central role of WNK4 in coordinating renal responses to diverse physiological stimuli.</w:t>
      </w:r>
    </w:p>
    <w:p>
      <w:pPr>
        <w:pStyle w:val="Compact"/>
        <w:numPr>
          <w:ilvl w:val="0"/>
          <w:numId w:val="1004"/>
        </w:numPr>
      </w:pPr>
      <w:r>
        <w:t xml:space="preserve">Other Comments</w:t>
      </w:r>
      <w:r>
        <w:br/>
      </w:r>
      <w:r>
        <w:t xml:space="preserve">Alterations in WNK4 function are intimately associated with clinically significant disorders, most notably familial hyperkalemic hypertension (FHHt), also known as Gordon’s syndrome. Mutations in the WNK4 gene often lead to a gain-of-function phenotype that results in the hyperactivation of the WNK4-SPAK/OSR1 signaling cascade, ultimately causing increased phosphorylation of downstream ion transporters and aberrant sodium chloride reabsorption (vitari2005thewnk1and pages 5-5, na2012diseasecausingmutationsin pages 2-4). Such dysregulation underlies the electrolyte imbalances and hypertensive outcomes observed in affected individuals. In addition to genetic mutations, misregulation of post‑translational modifications—such as impaired autophosphorylation or dysregulated phosphorylation by kinases including SGK1—and disturbances in the controlled ubiquitination of WNK4 contribute to the pathological manifestations associated with its aberrant activity (ring2007ansgk1site pages 1-2, iv2022cctandcctlike pages 1-2).</w:t>
      </w:r>
    </w:p>
    <w:p>
      <w:pPr>
        <w:pStyle w:val="FirstParagraph"/>
      </w:pPr>
      <w:r>
        <w:t xml:space="preserve">The high conservation of the catalytic domain among WNK family members presents a significant challenge in the development of selective small‑molecule inhibitors targeting WNK4. However, recent efforts have focused on exploiting the non‑catalytic regulatory regions, such as the coiled‑coil and CCT-like domains, as alternative targets for therapeutic intervention (iv2022cctandcctlike pages 1-2). In parallel, the impact of Src‑family kinase–mediated tyrosine phosphorylation on WNK4’s function has broadened the scope of potential pharmacological strategies aimed at modulating its activity in clinical settings related to renal and cardiovascular diseases. As continued research delineates the complex network of regulatory interactions and structural determinants underpinning WNK4 activity, there is growing interest in developing targeted therapies that effectively mitigate the consequence of its dysregulation while preserving its essential physiological functions.</w:t>
      </w:r>
    </w:p>
    <w:p>
      <w:pPr>
        <w:pStyle w:val="BodyText"/>
      </w:pPr>
      <w:r>
        <w:t xml:space="preserve">References</w:t>
      </w:r>
    </w:p>
    <w:p>
      <w:pPr>
        <w:numPr>
          <w:ilvl w:val="0"/>
          <w:numId w:val="1005"/>
        </w:numPr>
      </w:pPr>
      <w:r>
        <w:t xml:space="preserve">(kahle2008molecularphysiologyof pages 4-5): Kristopher T. Kahle, Aaron M. Ring, and Richard P. Lifton. Molecular physiology of the wnk kinases. Annual Review of Physiology, 70:329-355, Mar 2008. URL: https://doi.org/10.1146/annurev.physiol.70.113006.100651, doi:10.1146/annurev.physiol.70.113006.100651. This article has 250 citations and is from a highest quality peer-reviewed journal.</w:t>
      </w:r>
    </w:p>
    <w:p>
      <w:pPr>
        <w:numPr>
          <w:ilvl w:val="0"/>
          <w:numId w:val="1005"/>
        </w:numPr>
      </w:pPr>
      <w:r>
        <w:t xml:space="preserve">(lin2022theposttranslationalmodification pages 2-3): Shiuan-Chen Lin, Chun Ma, Kao-Jung Chang, Han-Ping Cheong, Ming‐Cheng Lee, Y. Lan, Chien-Ying Wang, S. Chiou, T. Huo, Tsui‐Kang Hsu, P. Tsai, and Yi-ping Yang. The post-translational modification networking in wnk-centric hypertension regulation and electrolyte homeostasis. Biomedicines, Sep 2022. URL: https://doi.org/10.3390/biomedicines10092169, doi:10.3390/biomedicines10092169. This article has 5 citations and is from a peer-reviewed journal.</w:t>
      </w:r>
    </w:p>
    <w:p>
      <w:pPr>
        <w:numPr>
          <w:ilvl w:val="0"/>
          <w:numId w:val="1005"/>
        </w:numPr>
      </w:pPr>
      <w:r>
        <w:t xml:space="preserve">(maruyama2016osmoticstressinduces pages 9-11): Junichi Maruyama, Yumie Kobayashi, Tsuyoshi Umeda, A. Vandewalle, K. Takeda, H. Ichijo, and I. Naguro. Osmotic stress induces the phosphorylation of wnk4 ser575 via the p38mapk-mk pathway. Scientific Reports, Jan 2016. URL: https://doi.org/10.1038/srep18710, doi:10.1038/srep18710. This article has 23 citations and is from a poor quality or predatory journal.</w:t>
      </w:r>
    </w:p>
    <w:p>
      <w:pPr>
        <w:numPr>
          <w:ilvl w:val="0"/>
          <w:numId w:val="1005"/>
        </w:numPr>
      </w:pPr>
      <w:r>
        <w:t xml:space="preserve">(mccormick2011thewnksatypical pages 1-2):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5"/>
        </w:numPr>
      </w:pPr>
      <w:r>
        <w:t xml:space="preserve">(mccormick2011thewnksatypical pages 11-12):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5"/>
        </w:numPr>
      </w:pPr>
      <w:r>
        <w:t xml:space="preserve">(moniz2010emergingrolesfor pages 1-2): Sónia Moniz and Peter Jordan. Emerging roles for wnk kinases in cancer. Cellular and Molecular Life Sciences, 67:1265-1276, Jan 2010. URL: https://doi.org/10.1007/s00018-010-0261-6, doi:10.1007/s00018-010-0261-6. This article has 117 citations and is from a domain leading peer-reviewed journal.</w:t>
      </w:r>
    </w:p>
    <w:p>
      <w:pPr>
        <w:numPr>
          <w:ilvl w:val="0"/>
          <w:numId w:val="1005"/>
        </w:numPr>
      </w:pPr>
      <w:r>
        <w:t xml:space="preserve">(murthy2017wnksignallingpathways pages 1-3):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5"/>
        </w:numPr>
      </w:pPr>
      <w:r>
        <w:t xml:space="preserve">(murthy2017wnksignallingpathways pages 3-4):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5"/>
        </w:numPr>
      </w:pPr>
      <w:r>
        <w:t xml:space="preserve">(na2012diseasecausingmutationsin pages 2-4): T. Na, Guojin Wu, and Ji-Bin Peng. Disease-causing mutations in the acidic motif of wnk4 impair the sensitivity of wnk4 kinase to calcium ions. Biochemical and biophysical research communications, 419 2:293-8, Mar 2012. URL: https://doi.org/10.1016/j.bbrc.2012.02.013, doi:10.1016/j.bbrc.2012.02.013. This article has 28 citations and is from a peer-reviewed journal.</w:t>
      </w:r>
    </w:p>
    <w:p>
      <w:pPr>
        <w:numPr>
          <w:ilvl w:val="0"/>
          <w:numId w:val="1005"/>
        </w:numPr>
      </w:pPr>
      <w:r>
        <w:t xml:space="preserve">(ring2007ansgk1site pages 1-2): Aaron M. Ring, Qiang Leng, Jesse Rinehart, Frederick H. Wilson, Kristopher T. Kahle, Steven C. Hebert, and Richard P. Lifton. An sgk1 site in wnk4 regulates na</w:t>
      </w:r>
      <w:r>
        <w:t xml:space="preserve"> </w:t>
      </w:r>
      <w:r>
        <w:t xml:space="preserve">+</w:t>
      </w:r>
      <w:r>
        <w:t xml:space="preserve"> </w:t>
      </w:r>
      <w:r>
        <w:t xml:space="preserve">channel and k</w:t>
      </w:r>
      <w:r>
        <w:t xml:space="preserve"> </w:t>
      </w:r>
      <w:r>
        <w:t xml:space="preserve">+</w:t>
      </w:r>
      <w:r>
        <w:t xml:space="preserve"> </w:t>
      </w:r>
      <w:r>
        <w:t xml:space="preserve">channel activity and has implications for aldosterone signaling and k</w:t>
      </w:r>
      <w:r>
        <w:t xml:space="preserve"> </w:t>
      </w:r>
      <w:r>
        <w:t xml:space="preserve">+</w:t>
      </w:r>
      <w:r>
        <w:t xml:space="preserve"> </w:t>
      </w:r>
      <w:r>
        <w:t xml:space="preserve">homeostasis. Proceedings of the National Academy of Sciences, 104:4025-4029, Mar 2007. URL: https://doi.org/10.1073/pnas.0611728104, doi:10.1073/pnas.0611728104. This article has 190 citations.</w:t>
      </w:r>
    </w:p>
    <w:p>
      <w:pPr>
        <w:numPr>
          <w:ilvl w:val="0"/>
          <w:numId w:val="1005"/>
        </w:numPr>
      </w:pPr>
      <w:r>
        <w:t xml:space="preserve">(verissimo2001wnkkinasesa pages 1-2): Fátima Veríssimo and Peter Jordan. Wnk kinases, a novel protein kinase subfamily in multi-cellular organisms. Oncogene, 20:5562-5569, Sep 2001. URL: https://doi.org/10.1038/sj.onc.1204726, doi:10.1038/sj.onc.1204726. This article has 324 citations and is from a domain leading peer-reviewed journal.</w:t>
      </w:r>
    </w:p>
    <w:p>
      <w:pPr>
        <w:numPr>
          <w:ilvl w:val="0"/>
          <w:numId w:val="1005"/>
        </w:numPr>
      </w:pPr>
      <w:r>
        <w:t xml:space="preserve">(verissimo2001wnkkinasesa pages 4-5): Fátima Veríssimo and Peter Jordan. Wnk kinases, a novel protein kinase subfamily in multi-cellular organisms. Oncogene, 20:5562-5569, Sep 2001. URL: https://doi.org/10.1038/sj.onc.1204726, doi:10.1038/sj.onc.1204726. This article has 324 citations and is from a domain leading peer-reviewed journal.</w:t>
      </w:r>
    </w:p>
    <w:p>
      <w:pPr>
        <w:numPr>
          <w:ilvl w:val="0"/>
          <w:numId w:val="1005"/>
        </w:numPr>
      </w:pPr>
      <w:r>
        <w:t xml:space="preserve">(verissimo2001wnkkinasesa pages 5-7): Fátima Veríssimo and Peter Jordan. Wnk kinases, a novel protein kinase subfamily in multi-cellular organisms. Oncogene, 20:5562-5569, Sep 2001. URL: https://doi.org/10.1038/sj.onc.1204726, doi:10.1038/sj.onc.1204726. This article has 324 citations and is from a domain leading peer-reviewed journal.</w:t>
      </w:r>
    </w:p>
    <w:p>
      <w:pPr>
        <w:numPr>
          <w:ilvl w:val="0"/>
          <w:numId w:val="1005"/>
        </w:numPr>
      </w:pPr>
      <w:r>
        <w:t xml:space="preserve">(vitari2005thewnk1and pages 1-2): Alberto C. Vitari, Maria Deak, Nick A. Morrice, and Dario R. Alessi. The wnk1 and wnk4 protein kinases that are mutated in gordon’s hypertension syndrome phosphorylate and activate spak and osr1 protein kinases. The Biochemical journal, 391 Pt 1:17-24, Oct 2005. URL: https://doi.org/10.1042/bj20051180, doi:10.1042/bj20051180. This article has 569 citations.</w:t>
      </w:r>
    </w:p>
    <w:p>
      <w:pPr>
        <w:numPr>
          <w:ilvl w:val="0"/>
          <w:numId w:val="1005"/>
        </w:numPr>
      </w:pPr>
      <w:r>
        <w:t xml:space="preserve">(vitari2005thewnk1and pages 5-5): Alberto C. Vitari, Maria Deak, Nick A. Morrice, and Dario R. Alessi. The wnk1 and wnk4 protein kinases that are mutated in gordon’s hypertension syndrome phosphorylate and activate spak and osr1 protein kinases. The Biochemical journal, 391 Pt 1:17-24, Oct 2005. URL: https://doi.org/10.1042/bj20051180, doi:10.1042/bj20051180. This article has 569 citations.</w:t>
      </w:r>
    </w:p>
    <w:p>
      <w:pPr>
        <w:numPr>
          <w:ilvl w:val="0"/>
          <w:numId w:val="1005"/>
        </w:numPr>
      </w:pPr>
      <w:r>
        <w:t xml:space="preserve">(yagi2009kineticmechanismand pages 1-2): Yukiko I. Yagi, Koichi Abe, Kazunori Ikebukuro, and Koji Sode. Kinetic mechanism and inhibitor characterization of wnk1 kinase. Biochemistry, 48:10255-10266, Oct 2009. URL: https://doi.org/10.1021/bi900666n, doi:10.1021/bi900666n. This article has 28 citations and is from a peer-reviewed journal.</w:t>
      </w:r>
    </w:p>
    <w:p>
      <w:pPr>
        <w:numPr>
          <w:ilvl w:val="0"/>
          <w:numId w:val="1005"/>
        </w:numPr>
      </w:pPr>
      <w:r>
        <w:t xml:space="preserve">(iv2022cctandcctlike pages 1-2):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5"/>
        </w:numPr>
      </w:pPr>
      <w:r>
        <w:t xml:space="preserve">(iv2022cctandcctlike pages 12-13):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5"/>
        </w:numPr>
      </w:pPr>
      <w:r>
        <w:t xml:space="preserve">(iv2022cctandcctlike pages 2-4):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5"/>
        </w:numPr>
      </w:pPr>
      <w:r>
        <w:t xml:space="preserve">(iv2022cctandcctlike pages 22-24):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5"/>
        </w:numPr>
      </w:pPr>
      <w:r>
        <w:t xml:space="preserve">(iv2022cctandcctlike pages 32-34):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5"/>
        </w:numPr>
      </w:pPr>
      <w:r>
        <w:t xml:space="preserve">(iv2022cctandcctlike pages 35-37):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5"/>
        </w:numPr>
      </w:pPr>
      <w:r>
        <w:t xml:space="preserve">(iv2022cctandcctlike pages 37-39):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5"/>
        </w:numPr>
      </w:pPr>
      <w:r>
        <w:t xml:space="preserve">(iv2022cctandcctlike pages 42-44):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5"/>
        </w:numPr>
      </w:pPr>
      <w:r>
        <w:t xml:space="preserve">(iv2022cctandcctlike pages 8-10):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