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Tyrosine‐protein kinase Blk (gene BLK), also known as B lymphocyte kinase or p55‐Blk, is classified as a non‐receptor tyrosine kinase belonging to the Src family, a well‐defined subgroup of the human tyrosine kinome. BLK and its orthologs are conserved across vertebrate species, with its expression predominantly detected in B lymphocytes of mammals; its presence in γδ T cells has additionally been reported (bhanumathy2021proteintyrosinekinases pages 1-2). Detailed kinome surveys by Manning et al. have demonstrated that the origin of the Src family dates back to early metazoans, and the evolutionary conservation of these kinases underscores their fundamental roles in immune receptor signaling (Manning et al., 2002, Science; Manning et al., 2002, Trends Biochem Sci; bhanumathy2021proteintyrosinekinases pages 1-2, cann2017identifyingtherapeuticagents pages 173-176, johnson2023anatlasof pages 1-2). Within the Src family, BLK clusters with kinases such as Fyn and Lyn that share modular domain architectures and significant sequence homology, thereby suggesting evolutionary relationships dedicated to the regulation of B-cell receptor (BCR) signaling (cann2017identifyingtherapeuticagents pages 173-176, johnson2023anatlasof pages 1-2). This phylogenetic framework establishes BLK as an evolutionarily ancient enzyme that has been maintained throughout vertebrate evolution due to its essential function in immune signal transduction (bhanumathy2021proteintyrosinekinases pages 1-2).</w:t>
      </w:r>
    </w:p>
    <w:p>
      <w:pPr>
        <w:numPr>
          <w:ilvl w:val="0"/>
          <w:numId w:val="1001"/>
        </w:numPr>
      </w:pPr>
      <w:r>
        <w:t xml:space="preserve">Reaction Catalyzed</w:t>
      </w:r>
      <w:r>
        <w:br/>
      </w:r>
      <w:r>
        <w:t xml:space="preserve">BLK catalyzes the ATP‐dependent phosphorylation of tyrosine residues on target substrate proteins. The chemical reaction catalyzed by BLK can be formally represented as follows:</w:t>
      </w:r>
      <w:r>
        <w:br/>
      </w:r>
      <w:r>
        <w:t xml:space="preserve">ATP + [protein]‐L‐tyrosine → ADP + [protein]‐O‐phospho‐L‐tyrosine + H⁺ (yaronbarir2024theintrinsicsubstrate pages 1-2). This reaction underpins the modulation of protein function by creating phosphotyrosine docking sites for downstream effector proteins, thereby initiating signaling cascades within the cell (xu2011crystalstructureof pages 1-2).</w:t>
      </w:r>
    </w:p>
    <w:p>
      <w:pPr>
        <w:numPr>
          <w:ilvl w:val="0"/>
          <w:numId w:val="1001"/>
        </w:numPr>
      </w:pPr>
      <w:r>
        <w:t xml:space="preserve">Cofactor Requirements</w:t>
      </w:r>
      <w:r>
        <w:br/>
      </w:r>
      <w:r>
        <w:t xml:space="preserve">The enzymatic activity of BLK, like that of most tyrosine kinases, depends on the presence of divalent metal ions. In particular, BLK requires Mg²⁺ to facilitate proper binding of ATP in the active site, thereby stabilizing the negative charges on the phosphate groups and enabling efficient phosphotransfer onto the substrate tyrosine (xu2011crystalstructureof pages 1-2, yaronbarir2024theintrinsicsubstrate pages 1-2, bhanumathy2021proteintyrosinekinases pages 1-2).</w:t>
      </w:r>
    </w:p>
    <w:p>
      <w:pPr>
        <w:numPr>
          <w:ilvl w:val="0"/>
          <w:numId w:val="1001"/>
        </w:numPr>
      </w:pPr>
      <w:r>
        <w:t xml:space="preserve">Substrate Specificity</w:t>
      </w:r>
      <w:r>
        <w:br/>
      </w:r>
      <w:r>
        <w:t xml:space="preserve">BLK exhibits a defined substrate specificity characterized by its selective phosphorylation of tyrosine residues in proteins involved in B-cell receptor signaling. Experimentally, BLK phosphorylates CD79A at tyrosine residues 188 and 199 and CD79B at tyrosines 196 and 207, as well as immunoglobulin G receptors FCGR2A, FCGR2B, and FCGR2C (belle2017identificationofnew pages 61-64, bhanumathy2021proteintyrosinekinases pages 2-4). Intrinsic substrate specificity studies using combinatorial peptide arrays have established that BLK, similar to other tyrosine kinases, favors specific amino acid motifs surrounding the phosphoacceptor tyrosine; in particular, it shows a preference for acidic or hydrophobic residues located at defined positions relative to the target tyrosine (yaronbarir2024theintrinsicsubstrate pages 12-15, johnson2023anatlasof pages 2-3). The consensus substrate motif recognized by BLK, while sharing common features with other Src family kinases, is critical for docking the substrate appropriately within the catalytic cleft to promote efficient phosphorylation (johnson2023anatlasof pages 2-3).</w:t>
      </w:r>
    </w:p>
    <w:p>
      <w:pPr>
        <w:numPr>
          <w:ilvl w:val="0"/>
          <w:numId w:val="1001"/>
        </w:numPr>
      </w:pPr>
      <w:r>
        <w:t xml:space="preserve">Structure</w:t>
      </w:r>
      <w:r>
        <w:br/>
      </w:r>
      <w:r>
        <w:t xml:space="preserve">BLK exhibits the canonical domain organization characteristic of Src family kinases. Its N-terminal region contains a unique sequence that encompasses an SH4 domain featuring a myristoylation signal, which is important for targeting the kinase to cellular membranes (cann2017identifyingtherapeuticagents pages 173-176, petsalakiUnknownyearthefestyrosine pages 26-31). Following the membrane-targeting region, BLK contains an SH3 domain responsible for binding proline-rich sequences in partner proteins and mediating specific protein–protein interactions. Adjacent to this is an SH2 domain that specializes in recognizing phosphotyrosine-containing motifs, thus facilitating the recruitment of signaling complexes (kothe2007structureofthe pages 3-4, johnson2023anatlasof pages 7-8). The C-terminal portion of BLK is occupied by the catalytic or kinase domain. This domain incorporates critical structural features such as the ATP-binding P-loop (glycine-rich loop), the catalytic loop, the activation loop (which undergoes phosphorylation to modulate activity), the C-helix necessary for proper active site geometry, and a hydrophobic spine that stabilizes the active conformation (cheek2005acomprehensiveupdate pages 18-19, yaronbarir2024theintrinsicsubstrate pages 2-3, verba2016atomicstructureof pages 6-8). Although no unique structural feature exclusive to BLK has been identified, integrative analyses including AlphaFold predictions reveal that BLK conforms to the well-established bilobal structure observed in all protein kinases (johnson2023anatlasof pages 7-7, kothe2007structureofthe pages 3-4).</w:t>
      </w:r>
    </w:p>
    <w:p>
      <w:pPr>
        <w:numPr>
          <w:ilvl w:val="0"/>
          <w:numId w:val="1001"/>
        </w:numPr>
      </w:pPr>
      <w:r>
        <w:t xml:space="preserve">Regulation</w:t>
      </w:r>
      <w:r>
        <w:br/>
      </w:r>
      <w:r>
        <w:t xml:space="preserve">The activity of BLK is governed by regulatory mechanisms common to Src family kinases. Autophosphorylation within the activation loop of the catalytic domain enhances its kinase activity, while phosphorylation of a conserved C-terminal tyrosine residue contributes to an autoinhibitory conformation mediated by intramolecular binding of the SH2 domain (johnson2023anatlasof pages 7-7, yaronbarir2024theintrinsicsubstrate pages 2-2). This autoinhibited state is maintained until appropriate extracellular signals, such as antigen engagement at the B-cell receptor, promote dephosphorylation of the inhibitory tyrosine by specific phosphatases, and concurrent phosphorylation of the activation loop (gough2024exploringtheconformational pages 10-11, johnson2023anatlasof pages 7-8). Moreover, BLK interacts with other kinases such as Fyn and Lyn within the BCR signaling complex, and these intermolecular interactions contribute to a tightly controlled signaling cascade (bhanumathy2021proteintyrosinekinases pages 2-4, cann2017identifyingtherapeuticagents pages 34-39). The combined effects of these phosphorylation events and protein-protein interactions ensure that BLK remains responsive to dynamic cellular cues (johnson2023anatlasof pages 8-9).</w:t>
      </w:r>
    </w:p>
    <w:p>
      <w:pPr>
        <w:numPr>
          <w:ilvl w:val="0"/>
          <w:numId w:val="1001"/>
        </w:numPr>
      </w:pPr>
      <w:r>
        <w:t xml:space="preserve">Function</w:t>
      </w:r>
      <w:r>
        <w:br/>
      </w:r>
      <w:r>
        <w:t xml:space="preserve">BLK is critically involved in B-cell physiology, participating in several key signaling pathways that determine B lymphocyte development, differentiation, and activation. Upon antigen binding to the B-cell receptor (BCR), BLK becomes activated and phosphorylates the immunoreceptor tyrosine-based activation motifs (ITAMs) present on the BCR-associated proteins CD79A and CD79B, thereby facilitating the recruitment of downstream effector proteins such as Syk kinase and initiating further propagation of the signal (belle2017identificationofnew pages 61-64, bhanumathy2021proteintyrosinekinases pages 2-4). In the context of pre-B-cell receptor (pre-BCR) signaling, BLK works alongside Fyn and Lyn to activate NF-κB, an essential transcription factor for lymphocyte survival and differentiation (cann2017identifyingtherapeuticagents pages 34-39, johnson2023anatlasof pages 2-3). In addition, BLK indirectly contributes to the activation of Bruton’s tyrosine kinase (BTK) by promoting its autophosphorylation, thus amplifying proliferative and survival signals in B cells (cann2017identifyingtherapeuticagents pages 34-39, johnson2023anatlasof pages 2-3). Beyond its immunological role, BLK is expressed in pancreatic islets where it modulates beta-cell function. In these cells, BLK upregulates transcription factors such as PDX1 and NKX6-1, which are critical for insulin secretion in response to glucose (bhanumathy2021proteintyrosinekinases pages 2-4). Furthermore, BLK phosphorylates cyclic GMP-AMP synthase (CGAS), a process that promotes CGAS retention within the cytosol and thereby influences innate immune signaling (cann2017identifyingtherapeuticagents pages 39-43). These multiple roles underscore the importance of BLK in both adaptive immunity and metabolic regulation (kleinau2023theroleof pages 41-46).</w:t>
      </w:r>
    </w:p>
    <w:p>
      <w:pPr>
        <w:numPr>
          <w:ilvl w:val="0"/>
          <w:numId w:val="1001"/>
        </w:numPr>
      </w:pPr>
      <w:r>
        <w:t xml:space="preserve">Other Comments</w:t>
      </w:r>
      <w:r>
        <w:br/>
      </w:r>
      <w:r>
        <w:t xml:space="preserve">BLK has been identified as an essential kinase that supports B-cell viability, and due to its pivotal role in BCR signaling, it has garnered significant interest as a potential immunomodulatory target in B-cell malignancies such as lymphomas (belle2017identificationofnew pages 64-67, cann2017identifyingtherapeuticagents pages 51-54). Although no inhibitors have been designed exclusively for BLK, several Src family kinase inhibitors, including dasatinib and luxeptinib, have been demonstrated to affect signaling pathways in which BLK is involved (sonowal2023luxeptinibinterfereswith pages 14-15). In addition, dysregulation of BLK—potentially through genetic variants or altered post-translational modifications—has been genetically associated with autoimmune diseases such as systemic lupus erythematosus (SLE) (barreiro2017functionalstudiesof pages 76-80). While specific disease-causing mutations in BLK have not been unequivocally characterized, the well-documented correlation of BLK expression levels and function with B-cell activation highlights its significance; therefore, continuing research may ultimately yield more selective inhibitors and novel therapeutic strategies targeting BLK (cheek2005acomprehensiveupdate pages 18-19, cann2017identifyingtherapeuticagents pages 51-54).</w:t>
      </w:r>
    </w:p>
    <w:p>
      <w:pPr>
        <w:numPr>
          <w:ilvl w:val="0"/>
          <w:numId w:val="1001"/>
        </w:numPr>
      </w:pPr>
      <w:r>
        <w:t xml:space="preserve">References</w:t>
      </w:r>
      <w:r>
        <w:br/>
      </w:r>
    </w:p>
    <w:p>
      <w:pPr>
        <w:pStyle w:val="Compact"/>
        <w:numPr>
          <w:ilvl w:val="0"/>
          <w:numId w:val="1002"/>
        </w:numPr>
      </w:pPr>
      <w:r>
        <w:t xml:space="preserve">belle2017identificationofnew pages 61-64</w:t>
      </w:r>
      <w:r>
        <w:br/>
      </w:r>
    </w:p>
    <w:p>
      <w:pPr>
        <w:pStyle w:val="Compact"/>
        <w:numPr>
          <w:ilvl w:val="0"/>
          <w:numId w:val="1002"/>
        </w:numPr>
      </w:pPr>
      <w:r>
        <w:t xml:space="preserve">bhanumathy2021proteintyrosinekinases pages 1-2</w:t>
      </w:r>
      <w:r>
        <w:br/>
      </w:r>
    </w:p>
    <w:p>
      <w:pPr>
        <w:pStyle w:val="Compact"/>
        <w:numPr>
          <w:ilvl w:val="0"/>
          <w:numId w:val="1002"/>
        </w:numPr>
      </w:pPr>
      <w:r>
        <w:t xml:space="preserve">bhanumathy2021proteintyrosinekinases pages 2-4</w:t>
      </w:r>
      <w:r>
        <w:br/>
      </w:r>
    </w:p>
    <w:p>
      <w:pPr>
        <w:pStyle w:val="Compact"/>
        <w:numPr>
          <w:ilvl w:val="0"/>
          <w:numId w:val="1002"/>
        </w:numPr>
      </w:pPr>
      <w:r>
        <w:t xml:space="preserve">cann2017identifyingtherapeuticagents pages 34-39</w:t>
      </w:r>
      <w:r>
        <w:br/>
      </w:r>
    </w:p>
    <w:p>
      <w:pPr>
        <w:pStyle w:val="Compact"/>
        <w:numPr>
          <w:ilvl w:val="0"/>
          <w:numId w:val="1002"/>
        </w:numPr>
      </w:pPr>
      <w:r>
        <w:t xml:space="preserve">cann2017identifyingtherapeuticagents pages 39-43</w:t>
      </w:r>
      <w:r>
        <w:br/>
      </w:r>
    </w:p>
    <w:p>
      <w:pPr>
        <w:pStyle w:val="Compact"/>
        <w:numPr>
          <w:ilvl w:val="0"/>
          <w:numId w:val="1002"/>
        </w:numPr>
      </w:pPr>
      <w:r>
        <w:t xml:space="preserve">cann2017identifyingtherapeuticagents pages 51-54</w:t>
      </w:r>
      <w:r>
        <w:br/>
      </w:r>
    </w:p>
    <w:p>
      <w:pPr>
        <w:pStyle w:val="Compact"/>
        <w:numPr>
          <w:ilvl w:val="0"/>
          <w:numId w:val="1002"/>
        </w:numPr>
      </w:pPr>
      <w:r>
        <w:t xml:space="preserve">cheek2005acomprehensiveupdate pages 18-19</w:t>
      </w:r>
      <w:r>
        <w:br/>
      </w:r>
    </w:p>
    <w:p>
      <w:pPr>
        <w:pStyle w:val="Compact"/>
        <w:numPr>
          <w:ilvl w:val="0"/>
          <w:numId w:val="1002"/>
        </w:numPr>
      </w:pPr>
      <w:r>
        <w:t xml:space="preserve">gough2024exploringtheconformational pages 10-11</w:t>
      </w:r>
      <w:r>
        <w:br/>
      </w:r>
    </w:p>
    <w:p>
      <w:pPr>
        <w:pStyle w:val="Compact"/>
        <w:numPr>
          <w:ilvl w:val="0"/>
          <w:numId w:val="1002"/>
        </w:numPr>
      </w:pPr>
      <w:r>
        <w:t xml:space="preserve">johnson2023anatlasof pages 1-2</w:t>
      </w:r>
      <w:r>
        <w:br/>
      </w:r>
    </w:p>
    <w:p>
      <w:pPr>
        <w:pStyle w:val="Compact"/>
        <w:numPr>
          <w:ilvl w:val="0"/>
          <w:numId w:val="1002"/>
        </w:numPr>
      </w:pPr>
      <w:r>
        <w:t xml:space="preserve">johnson2023anatlasof pages 2-3</w:t>
      </w:r>
      <w:r>
        <w:br/>
      </w:r>
    </w:p>
    <w:p>
      <w:pPr>
        <w:pStyle w:val="Compact"/>
        <w:numPr>
          <w:ilvl w:val="0"/>
          <w:numId w:val="1002"/>
        </w:numPr>
      </w:pPr>
      <w:r>
        <w:t xml:space="preserve">johnson2023anatlasof pages 7-7</w:t>
      </w:r>
      <w:r>
        <w:br/>
      </w:r>
    </w:p>
    <w:p>
      <w:pPr>
        <w:pStyle w:val="Compact"/>
        <w:numPr>
          <w:ilvl w:val="0"/>
          <w:numId w:val="1002"/>
        </w:numPr>
      </w:pPr>
      <w:r>
        <w:t xml:space="preserve">johnson2023anatlasof pages 7-8</w:t>
      </w:r>
      <w:r>
        <w:br/>
      </w:r>
    </w:p>
    <w:p>
      <w:pPr>
        <w:pStyle w:val="Compact"/>
        <w:numPr>
          <w:ilvl w:val="0"/>
          <w:numId w:val="1002"/>
        </w:numPr>
      </w:pPr>
      <w:r>
        <w:t xml:space="preserve">johnson2023anatlasof pages 8-9</w:t>
      </w:r>
      <w:r>
        <w:br/>
      </w:r>
    </w:p>
    <w:p>
      <w:pPr>
        <w:pStyle w:val="Compact"/>
        <w:numPr>
          <w:ilvl w:val="0"/>
          <w:numId w:val="1002"/>
        </w:numPr>
      </w:pPr>
      <w:r>
        <w:t xml:space="preserve">johnson2023anatlasof pages 9-10</w:t>
      </w:r>
      <w:r>
        <w:br/>
      </w:r>
    </w:p>
    <w:p>
      <w:pPr>
        <w:pStyle w:val="Compact"/>
        <w:numPr>
          <w:ilvl w:val="0"/>
          <w:numId w:val="1002"/>
        </w:numPr>
      </w:pPr>
      <w:r>
        <w:t xml:space="preserve">kothe2007structureofthe pages 3-4</w:t>
      </w:r>
      <w:r>
        <w:br/>
      </w:r>
    </w:p>
    <w:p>
      <w:pPr>
        <w:pStyle w:val="Compact"/>
        <w:numPr>
          <w:ilvl w:val="0"/>
          <w:numId w:val="1002"/>
        </w:numPr>
      </w:pPr>
      <w:r>
        <w:t xml:space="preserve">kleinau2023theroleof pages 41-46</w:t>
      </w:r>
      <w:r>
        <w:br/>
      </w:r>
    </w:p>
    <w:p>
      <w:pPr>
        <w:pStyle w:val="Compact"/>
        <w:numPr>
          <w:ilvl w:val="0"/>
          <w:numId w:val="1002"/>
        </w:numPr>
      </w:pPr>
      <w:r>
        <w:t xml:space="preserve">pei2023computationalanalysisof pages 1-2</w:t>
      </w:r>
      <w:r>
        <w:br/>
      </w:r>
    </w:p>
    <w:p>
      <w:pPr>
        <w:pStyle w:val="Compact"/>
        <w:numPr>
          <w:ilvl w:val="0"/>
          <w:numId w:val="1002"/>
        </w:numPr>
      </w:pPr>
      <w:r>
        <w:t xml:space="preserve">pei2023computationalanalysisof pages 15-16</w:t>
      </w:r>
      <w:r>
        <w:br/>
      </w:r>
    </w:p>
    <w:p>
      <w:pPr>
        <w:pStyle w:val="Compact"/>
        <w:numPr>
          <w:ilvl w:val="0"/>
          <w:numId w:val="1002"/>
        </w:numPr>
      </w:pPr>
      <w:r>
        <w:t xml:space="preserve">pei2023computationalanalysisof pages 16-17</w:t>
      </w:r>
      <w:r>
        <w:br/>
      </w:r>
    </w:p>
    <w:p>
      <w:pPr>
        <w:pStyle w:val="Compact"/>
        <w:numPr>
          <w:ilvl w:val="0"/>
          <w:numId w:val="1002"/>
        </w:numPr>
      </w:pPr>
      <w:r>
        <w:t xml:space="preserve">petsalakiUnknownyearthefestyrosine pages 26-31</w:t>
      </w:r>
      <w:r>
        <w:br/>
      </w:r>
    </w:p>
    <w:p>
      <w:pPr>
        <w:pStyle w:val="Compact"/>
        <w:numPr>
          <w:ilvl w:val="0"/>
          <w:numId w:val="1002"/>
        </w:numPr>
      </w:pPr>
      <w:r>
        <w:t xml:space="preserve">sonowal2023luxeptinibinterfereswith pages 14-15</w:t>
      </w:r>
      <w:r>
        <w:br/>
      </w:r>
    </w:p>
    <w:p>
      <w:pPr>
        <w:pStyle w:val="Compact"/>
        <w:numPr>
          <w:ilvl w:val="0"/>
          <w:numId w:val="1002"/>
        </w:numPr>
      </w:pPr>
      <w:r>
        <w:t xml:space="preserve">verba2016atomicstructureof pages 6-8</w:t>
      </w:r>
      <w:r>
        <w:br/>
      </w:r>
    </w:p>
    <w:p>
      <w:pPr>
        <w:pStyle w:val="Compact"/>
        <w:numPr>
          <w:ilvl w:val="0"/>
          <w:numId w:val="1002"/>
        </w:numPr>
      </w:pPr>
      <w:r>
        <w:t xml:space="preserve">xu2011crystalstructureof pages 1-2</w:t>
      </w:r>
      <w:r>
        <w:br/>
      </w:r>
    </w:p>
    <w:p>
      <w:pPr>
        <w:pStyle w:val="Compact"/>
        <w:numPr>
          <w:ilvl w:val="0"/>
          <w:numId w:val="1002"/>
        </w:numPr>
      </w:pPr>
      <w:r>
        <w:t xml:space="preserve">yaronbarir2024theintrinsicsubstrate pages 1-2</w:t>
      </w:r>
      <w:r>
        <w:br/>
      </w:r>
    </w:p>
    <w:p>
      <w:pPr>
        <w:pStyle w:val="Compact"/>
        <w:numPr>
          <w:ilvl w:val="0"/>
          <w:numId w:val="1002"/>
        </w:numPr>
      </w:pPr>
      <w:r>
        <w:t xml:space="preserve">yaronbarir2024theintrinsicsubstrate pages 2-2</w:t>
      </w:r>
      <w:r>
        <w:br/>
      </w:r>
    </w:p>
    <w:p>
      <w:pPr>
        <w:pStyle w:val="Compact"/>
        <w:numPr>
          <w:ilvl w:val="0"/>
          <w:numId w:val="1002"/>
        </w:numPr>
      </w:pPr>
      <w:r>
        <w:t xml:space="preserve">yaronbarir2024theintrinsicsubstrate pages 2-3</w:t>
      </w:r>
      <w:r>
        <w:br/>
      </w:r>
    </w:p>
    <w:p>
      <w:pPr>
        <w:pStyle w:val="Compact"/>
        <w:numPr>
          <w:ilvl w:val="0"/>
          <w:numId w:val="1002"/>
        </w:numPr>
      </w:pPr>
      <w:r>
        <w:t xml:space="preserve">yaronbarir2024theintrinsicsubstrate pages 3-4</w:t>
      </w:r>
      <w:r>
        <w:br/>
      </w:r>
    </w:p>
    <w:p>
      <w:pPr>
        <w:pStyle w:val="Compact"/>
        <w:numPr>
          <w:ilvl w:val="0"/>
          <w:numId w:val="1002"/>
        </w:numPr>
      </w:pPr>
      <w:r>
        <w:t xml:space="preserve">yaronbarir2024theintrinsicsubstrate pages 6-7</w:t>
      </w:r>
      <w:r>
        <w:br/>
      </w:r>
    </w:p>
    <w:p>
      <w:pPr>
        <w:pStyle w:val="Compact"/>
        <w:numPr>
          <w:ilvl w:val="0"/>
          <w:numId w:val="1002"/>
        </w:numPr>
      </w:pPr>
      <w:r>
        <w:t xml:space="preserve">yaronbarir2024theintrinsicsubstrate pages 7-8</w:t>
      </w:r>
      <w:r>
        <w:br/>
      </w:r>
    </w:p>
    <w:p>
      <w:pPr>
        <w:pStyle w:val="Compact"/>
        <w:numPr>
          <w:ilvl w:val="0"/>
          <w:numId w:val="1002"/>
        </w:numPr>
      </w:pPr>
      <w:r>
        <w:t xml:space="preserve">yaronbarir2024theintrinsicsubstrate pages 8-8</w:t>
      </w:r>
      <w:r>
        <w:br/>
      </w:r>
    </w:p>
    <w:p>
      <w:pPr>
        <w:pStyle w:val="Compact"/>
        <w:numPr>
          <w:ilvl w:val="0"/>
          <w:numId w:val="1002"/>
        </w:numPr>
      </w:pPr>
      <w:r>
        <w:t xml:space="preserve">yaronbarir2024theintrinsicsubstrate pages 9-10</w:t>
      </w:r>
      <w:r>
        <w:br/>
      </w:r>
    </w:p>
    <w:p>
      <w:pPr>
        <w:pStyle w:val="Compact"/>
        <w:numPr>
          <w:ilvl w:val="0"/>
          <w:numId w:val="1002"/>
        </w:numPr>
      </w:pPr>
      <w:r>
        <w:t xml:space="preserve">yaronbarir2024theintrinsicsubstrate pages 12-15</w:t>
      </w:r>
      <w:r>
        <w:br/>
      </w:r>
    </w:p>
    <w:p>
      <w:pPr>
        <w:pStyle w:val="Compact"/>
        <w:numPr>
          <w:ilvl w:val="0"/>
          <w:numId w:val="1002"/>
        </w:numPr>
      </w:pPr>
      <w:r>
        <w:t xml:space="preserve">bah2016modulationofintrinsically pages 1-2</w:t>
      </w:r>
    </w:p>
    <w:p>
      <w:pPr>
        <w:pStyle w:val="FirstParagraph"/>
      </w:pPr>
      <w:r>
        <w:t xml:space="preserve">References</w:t>
      </w:r>
    </w:p>
    <w:p>
      <w:pPr>
        <w:numPr>
          <w:ilvl w:val="0"/>
          <w:numId w:val="1003"/>
        </w:numPr>
      </w:pPr>
      <w:r>
        <w:t xml:space="preserve">(belle2017identificationofnew pages 61-64): K Van Belle. Identification of new immunomodulating targets and agents for b lymphocytes. Unknown journal, 2017.</w:t>
      </w:r>
    </w:p>
    <w:p>
      <w:pPr>
        <w:numPr>
          <w:ilvl w:val="0"/>
          <w:numId w:val="1003"/>
        </w:numPr>
      </w:pPr>
      <w:r>
        <w:t xml:space="preserve">(bhanumathy2021proteintyrosinekinases pages 1-2): Kalpana K. Bhanumathy, Amrutha Balagopal, Frederick S. Vizeacoumar, Franco J. Vizeacoumar, Andrew Freywald, and Vincenzo Giambra. Protein tyrosine kinases: their roles and their targeting in leukemia. Cancers, 13:184, Jan 2021. URL: https://doi.org/10.3390/cancers13020184, doi:10.3390/cancers13020184. This article has 73 citations and is from a peer-reviewed journal.</w:t>
      </w:r>
    </w:p>
    <w:p>
      <w:pPr>
        <w:numPr>
          <w:ilvl w:val="0"/>
          <w:numId w:val="1003"/>
        </w:numPr>
      </w:pPr>
      <w:r>
        <w:t xml:space="preserve">(bhanumathy2021proteintyrosinekinases pages 2-4): Kalpana K. Bhanumathy, Amrutha Balagopal, Frederick S. Vizeacoumar, Franco J. Vizeacoumar, Andrew Freywald, and Vincenzo Giambra. Protein tyrosine kinases: their roles and their targeting in leukemia. Cancers, 13:184, Jan 2021. URL: https://doi.org/10.3390/cancers13020184, doi:10.3390/cancers13020184. This article has 73 citations and is from a peer-reviewed journal.</w:t>
      </w:r>
    </w:p>
    <w:p>
      <w:pPr>
        <w:numPr>
          <w:ilvl w:val="0"/>
          <w:numId w:val="1003"/>
        </w:numPr>
      </w:pPr>
      <w:r>
        <w:t xml:space="preserve">(cann2017identifyingtherapeuticagents pages 173-176): M Cann. Identifying therapeutic agents for the treatment of diffuse large b-cell lymphoma. Unknown journal, 2017.</w:t>
      </w:r>
    </w:p>
    <w:p>
      <w:pPr>
        <w:numPr>
          <w:ilvl w:val="0"/>
          <w:numId w:val="1003"/>
        </w:numPr>
      </w:pPr>
      <w:r>
        <w:t xml:space="preserve">(cann2017identifyingtherapeuticagents pages 34-39): M Cann. Identifying therapeutic agents for the treatment of diffuse large b-cell lymphoma. Unknown journal, 2017.</w:t>
      </w:r>
    </w:p>
    <w:p>
      <w:pPr>
        <w:numPr>
          <w:ilvl w:val="0"/>
          <w:numId w:val="1003"/>
        </w:numPr>
      </w:pPr>
      <w:r>
        <w:t xml:space="preserve">(cann2017identifyingtherapeuticagents pages 39-43): M Cann. Identifying therapeutic agents for the treatment of diffuse large b-cell lymphoma. Unknown journal, 2017.</w:t>
      </w:r>
    </w:p>
    <w:p>
      <w:pPr>
        <w:numPr>
          <w:ilvl w:val="0"/>
          <w:numId w:val="1003"/>
        </w:numPr>
      </w:pPr>
      <w:r>
        <w:t xml:space="preserve">(cheek2005acomprehensiveupdate pages 18-19): Sara Cheek, Krzysztof Ginalski, Hong Zhang, and Nick V Grishin. A comprehensive update of the sequence and structure classification of kinases. BMC Structural Biology, Mar 2005. URL: https://doi.org/10.1186/1472-6807-5-6, doi:10.1186/1472-6807-5-6. This article has 172 citations and is from a peer-reviewed journal.</w:t>
      </w:r>
    </w:p>
    <w:p>
      <w:pPr>
        <w:numPr>
          <w:ilvl w:val="0"/>
          <w:numId w:val="1003"/>
        </w:numPr>
      </w:pPr>
      <w:r>
        <w:t xml:space="preserve">(gough2024exploringtheconformational pages 10-11): Nancy R. Gough and Charalampos G. Kalodimos. Exploring the conformational landscape of protein kinases. Current Opinion in Structural Biology, 88:102890, Oct 2024. URL: https://doi.org/10.1016/j.sbi.2024.102890, doi:10.1016/j.sbi.2024.102890. This article has 6 citations and is from a peer-reviewed journal.</w:t>
      </w:r>
    </w:p>
    <w:p>
      <w:pPr>
        <w:numPr>
          <w:ilvl w:val="0"/>
          <w:numId w:val="1003"/>
        </w:numPr>
      </w:pPr>
      <w:r>
        <w:t xml:space="preserve">(johnson2023anatlasof pages 1-2):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416 citations and is from a highest quality peer-reviewed journal.</w:t>
      </w:r>
    </w:p>
    <w:p>
      <w:pPr>
        <w:numPr>
          <w:ilvl w:val="0"/>
          <w:numId w:val="1003"/>
        </w:numPr>
      </w:pPr>
      <w:r>
        <w:t xml:space="preserve">(johnson2023anatlasof pages 2-3):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416 citations and is from a highest quality peer-reviewed journal.</w:t>
      </w:r>
    </w:p>
    <w:p>
      <w:pPr>
        <w:numPr>
          <w:ilvl w:val="0"/>
          <w:numId w:val="1003"/>
        </w:numPr>
      </w:pPr>
      <w:r>
        <w:t xml:space="preserve">(johnson2023anatlasof pages 7-7):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416 citations and is from a highest quality peer-reviewed journal.</w:t>
      </w:r>
    </w:p>
    <w:p>
      <w:pPr>
        <w:numPr>
          <w:ilvl w:val="0"/>
          <w:numId w:val="1003"/>
        </w:numPr>
      </w:pPr>
      <w:r>
        <w:t xml:space="preserve">(johnson2023anatlasof pages 7-8):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416 citations and is from a highest quality peer-reviewed journal.</w:t>
      </w:r>
    </w:p>
    <w:p>
      <w:pPr>
        <w:numPr>
          <w:ilvl w:val="0"/>
          <w:numId w:val="1003"/>
        </w:numPr>
      </w:pPr>
      <w:r>
        <w:t xml:space="preserve">(johnson2023anatlasof pages 8-9):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416 citations and is from a highest quality peer-reviewed journal.</w:t>
      </w:r>
    </w:p>
    <w:p>
      <w:pPr>
        <w:numPr>
          <w:ilvl w:val="0"/>
          <w:numId w:val="1003"/>
        </w:numPr>
      </w:pPr>
      <w:r>
        <w:t xml:space="preserve">(johnson2023anatlasof pages 9-10):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416 citations and is from a highest quality peer-reviewed journal.</w:t>
      </w:r>
    </w:p>
    <w:p>
      <w:pPr>
        <w:numPr>
          <w:ilvl w:val="0"/>
          <w:numId w:val="1003"/>
        </w:numPr>
      </w:pPr>
      <w:r>
        <w:t xml:space="preserve">(kleinau2023theroleof pages 41-46): M Kleinau. The role of blk in the pathogenesis of systemic inflammatory syndromes. Unknown journal, 2023.</w:t>
      </w:r>
    </w:p>
    <w:p>
      <w:pPr>
        <w:numPr>
          <w:ilvl w:val="0"/>
          <w:numId w:val="1003"/>
        </w:numPr>
      </w:pPr>
      <w:r>
        <w:t xml:space="preserve">(kothe2007structureofthe pages 3-4): Michael Kothe, Darcy Kohls, Simon Low, Rocco Coli, Alan C. Cheng, Suzanne L. Jacques, Theresa L. Johnson, Cristina Lewis, Christine Loh, Jim Nonomiya, Alissa L. Sheils, Kimberly A. Verdries, Thomas A. Wynn, Cyrille Kuhn, and Yuan-Hua Ding. Structure of the catalytic domain of human polo-like kinase 1</w:t>
      </w:r>
      <w:r>
        <w:t xml:space="preserve">,</w:t>
      </w:r>
      <w:r>
        <w:t xml:space="preserve">. Biochemistry, 46:5960-5971, Apr 2007. URL: https://doi.org/10.1021/bi602474j, doi:10.1021/bi602474j. This article has 152 citations and is from a peer-reviewed journal.</w:t>
      </w:r>
    </w:p>
    <w:p>
      <w:pPr>
        <w:numPr>
          <w:ilvl w:val="0"/>
          <w:numId w:val="1003"/>
        </w:numPr>
      </w:pPr>
      <w:r>
        <w:t xml:space="preserve">(pei2023computationalanalysisof pages 15-16): Jimin Pei and Qian Cong. Computational analysis of regulatory regions in human protein kinases. Protein Science, Sep 2023. URL: https://doi.org/10.1002/pro.4764, doi:10.1002/pro.4764. This article has 3 citations and is from a peer-reviewed journal.</w:t>
      </w:r>
    </w:p>
    <w:p>
      <w:pPr>
        <w:numPr>
          <w:ilvl w:val="0"/>
          <w:numId w:val="1003"/>
        </w:numPr>
      </w:pPr>
      <w:r>
        <w:t xml:space="preserve">(pei2023computationalanalysisof pages 16-17): Jimin Pei and Qian Cong. Computational analysis of regulatory regions in human protein kinases. Protein Science, Sep 2023. URL: https://doi.org/10.1002/pro.4764, doi:10.1002/pro.4764. This article has 3 citations and is from a peer-reviewed journal.</w:t>
      </w:r>
    </w:p>
    <w:p>
      <w:pPr>
        <w:numPr>
          <w:ilvl w:val="0"/>
          <w:numId w:val="1003"/>
        </w:numPr>
      </w:pPr>
      <w:r>
        <w:t xml:space="preserve">(petsalakiUnknownyearthefestyrosine pages 26-31): E Petsalaki and G Gish. The fes tyrosine kinase guides cd19 receptor fate in b-cells by shaping regulatory src phosphorylation networks. Unknown journal, Unknown year.</w:t>
      </w:r>
    </w:p>
    <w:p>
      <w:pPr>
        <w:numPr>
          <w:ilvl w:val="0"/>
          <w:numId w:val="1003"/>
        </w:numPr>
      </w:pPr>
      <w:r>
        <w:t xml:space="preserve">(sonowal2023luxeptinibinterfereswith pages 14-15): Himangshu Sonowal, William G. Rice, and Stephen B. Howell. Luxeptinib interferes with lyn-mediated activation of syk and modulates bcr signaling in lymphoma. PLOS ONE, 18:e0277003, Mar 2023. URL: https://doi.org/10.1371/journal.pone.0277003, doi:10.1371/journal.pone.0277003. This article has 4 citations and is from a peer-reviewed journal.</w:t>
      </w:r>
    </w:p>
    <w:p>
      <w:pPr>
        <w:numPr>
          <w:ilvl w:val="0"/>
          <w:numId w:val="1003"/>
        </w:numPr>
      </w:pPr>
      <w:r>
        <w:t xml:space="preserve">(verba2016atomicstructureof pages 6-8): Kliment A. Verba, Ray Yu-Ruei Wang, Akihiko Arakawa, Yanxin Liu, Mikako Shirouzu, Shigeyuki Yokoyama, and David A. Agard. Atomic structure of hsp90-cdc37-cdk4 reveals that hsp90 traps and stabilizes an unfolded kinase. Science, 352:1542-1547, Jun 2016. URL: https://doi.org/10.1126/science.aaf5023, doi:10.1126/science.aaf5023. This article has 441 citations and is from a highest quality peer-reviewed journal.</w:t>
      </w:r>
    </w:p>
    <w:p>
      <w:pPr>
        <w:numPr>
          <w:ilvl w:val="0"/>
          <w:numId w:val="1003"/>
        </w:numPr>
      </w:pPr>
      <w:r>
        <w:t xml:space="preserve">(xu2011crystalstructureof pages 1-2): Guozhou Xu, Yu-Chih Lo, Qiubai Li, Gennaro Napolitano, Xuefeng Wu, Xuliang Jiang, Michel Dreano, Michael Karin, and Hao Wu. Crystal structure of inhibitor of κb kinase β. Nature, 472:325-330, Mar 2011. URL: https://doi.org/10.1038/nature09853, doi:10.1038/nature09853. This article has 252 citations and is from a highest quality peer-reviewed journal.</w:t>
      </w:r>
    </w:p>
    <w:p>
      <w:pPr>
        <w:numPr>
          <w:ilvl w:val="0"/>
          <w:numId w:val="1003"/>
        </w:numPr>
      </w:pPr>
      <w:r>
        <w:t xml:space="preserve">(yaronbarir2024theintrinsicsubstrate pages 1-2): Tomer M. Yaron-Barir, Brian A. Joughin, Emily M. Huntsman, Alexander Kerelsky, Daniel M. Cizin, Benjamin M. Cohen, Amit Regev, Junho Song, Neil Vasan, Ting-Yu Lin, Jose M. Orozco, Christina Schoenherr, Cari Sagum, Mark T. Bedford, R. Max Wynn, Shih-Chia Tso, David T. Chuang, Lei Li, Shawn S.-C. Li, Pau Creixell, Konstantin Krismer, Mina Takegami, Harin Lee, Bin Zhang, Jingyi Lu, Ian Cossentino, Sean D. Landry, Mohamed Uduman, John Blenis, Olivier Elemento, Margaret C. Frame, Peter V. Hornbeck, Lewis C. Cantley, Benjamin E. Turk, Michael B. Yaffe, and Jared L. Johnson. The intrinsic substrate specificity of the human tyrosine kinome. Nature, 629:1174-1181, May 2024. URL: https://doi.org/10.1038/s41586-024-07407-y, doi:10.1038/s41586-024-07407-y. This article has 50 citations and is from a highest quality peer-reviewed journal.</w:t>
      </w:r>
    </w:p>
    <w:p>
      <w:pPr>
        <w:numPr>
          <w:ilvl w:val="0"/>
          <w:numId w:val="1003"/>
        </w:numPr>
      </w:pPr>
      <w:r>
        <w:t xml:space="preserve">(yaronbarir2024theintrinsicsubstrate pages 12-15): Tomer M. Yaron-Barir, Brian A. Joughin, Emily M. Huntsman, Alexander Kerelsky, Daniel M. Cizin, Benjamin M. Cohen, Amit Regev, Junho Song, Neil Vasan, Ting-Yu Lin, Jose M. Orozco, Christina Schoenherr, Cari Sagum, Mark T. Bedford, R. Max Wynn, Shih-Chia Tso, David T. Chuang, Lei Li, Shawn S.-C. Li, Pau Creixell, Konstantin Krismer, Mina Takegami, Harin Lee, Bin Zhang, Jingyi Lu, Ian Cossentino, Sean D. Landry, Mohamed Uduman, John Blenis, Olivier Elemento, Margaret C. Frame, Peter V. Hornbeck, Lewis C. Cantley, Benjamin E. Turk, Michael B. Yaffe, and Jared L. Johnson. The intrinsic substrate specificity of the human tyrosine kinome. Nature, 629:1174-1181, May 2024. URL: https://doi.org/10.1038/s41586-024-07407-y, doi:10.1038/s41586-024-07407-y. This article has 50 citations and is from a highest quality peer-reviewed journal.</w:t>
      </w:r>
    </w:p>
    <w:p>
      <w:pPr>
        <w:numPr>
          <w:ilvl w:val="0"/>
          <w:numId w:val="1003"/>
        </w:numPr>
      </w:pPr>
      <w:r>
        <w:t xml:space="preserve">(yaronbarir2024theintrinsicsubstrate pages 2-2): Tomer M. Yaron-Barir, Brian A. Joughin, Emily M. Huntsman, Alexander Kerelsky, Daniel M. Cizin, Benjamin M. Cohen, Amit Regev, Junho Song, Neil Vasan, Ting-Yu Lin, Jose M. Orozco, Christina Schoenherr, Cari Sagum, Mark T. Bedford, R. Max Wynn, Shih-Chia Tso, David T. Chuang, Lei Li, Shawn S.-C. Li, Pau Creixell, Konstantin Krismer, Mina Takegami, Harin Lee, Bin Zhang, Jingyi Lu, Ian Cossentino, Sean D. Landry, Mohamed Uduman, John Blenis, Olivier Elemento, Margaret C. Frame, Peter V. Hornbeck, Lewis C. Cantley, Benjamin E. Turk, Michael B. Yaffe, and Jared L. Johnson. The intrinsic substrate specificity of the human tyrosine kinome. Nature, 629:1174-1181, May 2024. URL: https://doi.org/10.1038/s41586-024-07407-y, doi:10.1038/s41586-024-07407-y. This article has 50 citations and is from a highest quality peer-reviewed journal.</w:t>
      </w:r>
    </w:p>
    <w:p>
      <w:pPr>
        <w:numPr>
          <w:ilvl w:val="0"/>
          <w:numId w:val="1003"/>
        </w:numPr>
      </w:pPr>
      <w:r>
        <w:t xml:space="preserve">(yaronbarir2024theintrinsicsubstrate pages 2-3): Tomer M. Yaron-Barir, Brian A. Joughin, Emily M. Huntsman, Alexander Kerelsky, Daniel M. Cizin, Benjamin M. Cohen, Amit Regev, Junho Song, Neil Vasan, Ting-Yu Lin, Jose M. Orozco, Christina Schoenherr, Cari Sagum, Mark T. Bedford, R. Max Wynn, Shih-Chia Tso, David T. Chuang, Lei Li, Shawn S.-C. Li, Pau Creixell, Konstantin Krismer, Mina Takegami, Harin Lee, Bin Zhang, Jingyi Lu, Ian Cossentino, Sean D. Landry, Mohamed Uduman, John Blenis, Olivier Elemento, Margaret C. Frame, Peter V. Hornbeck, Lewis C. Cantley, Benjamin E. Turk, Michael B. Yaffe, and Jared L. Johnson. The intrinsic substrate specificity of the human tyrosine kinome. Nature, 629:1174-1181, May 2024. URL: https://doi.org/10.1038/s41586-024-07407-y, doi:10.1038/s41586-024-07407-y. This article has 50 citations and is from a highest quality peer-reviewed journal.</w:t>
      </w:r>
    </w:p>
    <w:p>
      <w:pPr>
        <w:numPr>
          <w:ilvl w:val="0"/>
          <w:numId w:val="1003"/>
        </w:numPr>
      </w:pPr>
      <w:r>
        <w:t xml:space="preserve">(yaronbarir2024theintrinsicsubstrate pages 3-4): Tomer M. Yaron-Barir, Brian A. Joughin, Emily M. Huntsman, Alexander Kerelsky, Daniel M. Cizin, Benjamin M. Cohen, Amit Regev, Junho Song, Neil Vasan, Ting-Yu Lin, Jose M. Orozco, Christina Schoenherr, Cari Sagum, Mark T. Bedford, R. Max Wynn, Shih-Chia Tso, David T. Chuang, Lei Li, Shawn S.-C. Li, Pau Creixell, Konstantin Krismer, Mina Takegami, Harin Lee, Bin Zhang, Jingyi Lu, Ian Cossentino, Sean D. Landry, Mohamed Uduman, John Blenis, Olivier Elemento, Margaret C. Frame, Peter V. Hornbeck, Lewis C. Cantley, Benjamin E. Turk, Michael B. Yaffe, and Jared L. Johnson. The intrinsic substrate specificity of the human tyrosine kinome. Nature, 629:1174-1181, May 2024. URL: https://doi.org/10.1038/s41586-024-07407-y, doi:10.1038/s41586-024-07407-y. This article has 50 citations and is from a highest quality peer-reviewed journal.</w:t>
      </w:r>
    </w:p>
    <w:p>
      <w:pPr>
        <w:numPr>
          <w:ilvl w:val="0"/>
          <w:numId w:val="1003"/>
        </w:numPr>
      </w:pPr>
      <w:r>
        <w:t xml:space="preserve">(yaronbarir2024theintrinsicsubstrate pages 7-8): Tomer M. Yaron-Barir, Brian A. Joughin, Emily M. Huntsman, Alexander Kerelsky, Daniel M. Cizin, Benjamin M. Cohen, Amit Regev, Junho Song, Neil Vasan, Ting-Yu Lin, Jose M. Orozco, Christina Schoenherr, Cari Sagum, Mark T. Bedford, R. Max Wynn, Shih-Chia Tso, David T. Chuang, Lei Li, Shawn S.-C. Li, Pau Creixell, Konstantin Krismer, Mina Takegami, Harin Lee, Bin Zhang, Jingyi Lu, Ian Cossentino, Sean D. Landry, Mohamed Uduman, John Blenis, Olivier Elemento, Margaret C. Frame, Peter V. Hornbeck, Lewis C. Cantley, Benjamin E. Turk, Michael B. Yaffe, and Jared L. Johnson. The intrinsic substrate specificity of the human tyrosine kinome. Nature, 629:1174-1181, May 2024. URL: https://doi.org/10.1038/s41586-024-07407-y, doi:10.1038/s41586-024-07407-y. This article has 50 citations and is from a highest quality peer-reviewed journal.</w:t>
      </w:r>
    </w:p>
    <w:p>
      <w:pPr>
        <w:numPr>
          <w:ilvl w:val="0"/>
          <w:numId w:val="1003"/>
        </w:numPr>
      </w:pPr>
      <w:r>
        <w:t xml:space="preserve">(yaronbarir2024theintrinsicsubstrate pages 8-8): Tomer M. Yaron-Barir, Brian A. Joughin, Emily M. Huntsman, Alexander Kerelsky, Daniel M. Cizin, Benjamin M. Cohen, Amit Regev, Junho Song, Neil Vasan, Ting-Yu Lin, Jose M. Orozco, Christina Schoenherr, Cari Sagum, Mark T. Bedford, R. Max Wynn, Shih-Chia Tso, David T. Chuang, Lei Li, Shawn S.-C. Li, Pau Creixell, Konstantin Krismer, Mina Takegami, Harin Lee, Bin Zhang, Jingyi Lu, Ian Cossentino, Sean D. Landry, Mohamed Uduman, John Blenis, Olivier Elemento, Margaret C. Frame, Peter V. Hornbeck, Lewis C. Cantley, Benjamin E. Turk, Michael B. Yaffe, and Jared L. Johnson. The intrinsic substrate specificity of the human tyrosine kinome. Nature, 629:1174-1181, May 2024. URL: https://doi.org/10.1038/s41586-024-07407-y, doi:10.1038/s41586-024-07407-y. This article has 50 citations and is from a highest quality peer-reviewed journal.</w:t>
      </w:r>
    </w:p>
    <w:p>
      <w:pPr>
        <w:numPr>
          <w:ilvl w:val="0"/>
          <w:numId w:val="1003"/>
        </w:numPr>
      </w:pPr>
      <w:r>
        <w:t xml:space="preserve">(yaronbarir2024theintrinsicsubstrate pages 9-10): Tomer M. Yaron-Barir, Brian A. Joughin, Emily M. Huntsman, Alexander Kerelsky, Daniel M. Cizin, Benjamin M. Cohen, Amit Regev, Junho Song, Neil Vasan, Ting-Yu Lin, Jose M. Orozco, Christina Schoenherr, Cari Sagum, Mark T. Bedford, R. Max Wynn, Shih-Chia Tso, David T. Chuang, Lei Li, Shawn S.-C. Li, Pau Creixell, Konstantin Krismer, Mina Takegami, Harin Lee, Bin Zhang, Jingyi Lu, Ian Cossentino, Sean D. Landry, Mohamed Uduman, John Blenis, Olivier Elemento, Margaret C. Frame, Peter V. Hornbeck, Lewis C. Cantley, Benjamin E. Turk, Michael B. Yaffe, and Jared L. Johnson. The intrinsic substrate specificity of the human tyrosine kinome. Nature, 629:1174-1181, May 2024. URL: https://doi.org/10.1038/s41586-024-07407-y, doi:10.1038/s41586-024-07407-y. This article has 50 citations and is from a highest quality peer-reviewed journal.</w:t>
      </w:r>
    </w:p>
    <w:p>
      <w:pPr>
        <w:numPr>
          <w:ilvl w:val="0"/>
          <w:numId w:val="1003"/>
        </w:numPr>
      </w:pPr>
      <w:r>
        <w:t xml:space="preserve">(bah2016modulationofintrinsically pages 1-2): Alaji Bah and Julie D. Forman-Kay. Modulation of intrinsically disordered protein function by post-translational modifications. Journal of Biological Chemistry, 291:6696-6705, Mar 2016. URL: https://doi.org/10.1074/jbc.r115.695056, doi:10.1074/jbc.r115.695056. This article has 574 citations and is from a domain leading peer-reviewed journal.</w:t>
      </w:r>
    </w:p>
    <w:p>
      <w:pPr>
        <w:numPr>
          <w:ilvl w:val="0"/>
          <w:numId w:val="1003"/>
        </w:numPr>
      </w:pPr>
      <w:r>
        <w:t xml:space="preserve">(barreiro2017functionalstudiesof pages 76-80): A Díaz Barreiro. Functional studies of the sle-risk genes bank1 and blk in b-cell pathways. Unknown journal, 2017.</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2025-05-23T14:19:04Z</dcterms:created>
  <dcterms:modified xsi:type="dcterms:W3CDTF">2025-05-23T14:19:04Z</dcterms:modified>
</cp:coreProperties>
</file>

<file path=docProps/custom.xml><?xml version="1.0" encoding="utf-8"?>
<Properties xmlns="http://schemas.openxmlformats.org/officeDocument/2006/custom-properties" xmlns:vt="http://schemas.openxmlformats.org/officeDocument/2006/docPropsVTypes"/>
</file>