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BLK (gene: BLK, UniProt: P51451), also known as B lymphocyte kinase or p55‑Blk, belongs to the Src family of non‐receptor tyrosine kinases. BLK is phylogenetically grouped alongside other Src family members such as LYN, FYN, and LCK. Its evolutionary roots can be traced back to early metazoans, where the Src module (comprising SH3, SH2, and a catalytic kinase domain) first emerged and diversified into several lineage‐specific branches. BLK, in particular, exhibits high expression in B-lineage cells, reflecting its specialized role in B cell development and receptor signaling pathways. Orthologs of BLK have been identified in several mammalian species, indicating that its function in regulating B cell antigen receptor (BCR) signaling is evolutionarily conserved; in this respect, BLK is part of an evolutionary core of Src family kinases that have maintained similar domain organization and regulatory features throughout vertebrate evolution (zhang2021srcfamilyprotein pages 1-2, kwon2019tracingtheevolution pages 41-45). Furthermore, as with other Src family kinases, the BLK gene is thought to have undergone gene duplication events during early vertebrate evolution, resulting in structurally and functionally related kinases that now orchestrate complementary signaling cascades in lymphoid as well as, in some cases, non‑lymphoid cells (bhanumathy2021proteintyrosinekinases pages 7-9).</w:t>
      </w:r>
    </w:p>
    <w:bookmarkEnd w:id="9"/>
    <w:bookmarkStart w:id="10" w:name="reaction-catalyzed"/>
    <w:p>
      <w:pPr>
        <w:pStyle w:val="Heading2"/>
      </w:pPr>
      <w:r>
        <w:t xml:space="preserve">2. Reaction Catalyzed</w:t>
      </w:r>
    </w:p>
    <w:p>
      <w:pPr>
        <w:pStyle w:val="FirstParagraph"/>
      </w:pPr>
      <w:r>
        <w:t xml:space="preserve">BLK catalyzes the transfer of a phosphate group from ATP to tyrosine residues on protein substrates, thereby converting ATP to ADP and yielding a phosphorylated protein substrate plus a proton. In a typical reaction, BLK uses its kinase activity to phosphorylate specific tyrosine sites on integral components of the B cell receptor complex – for example, CD79A and CD79B – as well as other regulatory proteins such as immunoglobulin receptors (FCGR2A, FCGR2B, FCGR2C) and cyclic GMP-AMP synthase (CGAS). This modification plays an essential role in initiating and propagating intracellular signaling cascades that regulate cell activation, differentiation, and apoptosis (gallegos2016theoreticalstudyon pages 12-15, reys2022insilicoprofiling pages 29-32). The catalytic mechanism involves binding of ATP in the cleft formed between the N-terminal and C-terminal lobes of the kinase domain, the positioning of the substrate polypeptide in close proximity to key catalytic residues, and the subsequent transfer of the γ-phosphate to the hydroxyl group of a tyrosine residue on the substrate, a process coupled with conformational changes that facilitate the reaction (kwon2019tracingtheevolution pages 60-65).</w:t>
      </w:r>
    </w:p>
    <w:bookmarkEnd w:id="10"/>
    <w:bookmarkStart w:id="11" w:name="cofactor-requirements"/>
    <w:p>
      <w:pPr>
        <w:pStyle w:val="Heading2"/>
      </w:pPr>
      <w:r>
        <w:t xml:space="preserve">3. Cofactor Requirements</w:t>
      </w:r>
    </w:p>
    <w:p>
      <w:pPr>
        <w:pStyle w:val="FirstParagraph"/>
      </w:pPr>
      <w:r>
        <w:t xml:space="preserve">The phosphoryl transfer reaction carried out by BLK requires the presence of divalent metal ions. Magnesium (Mg²⁺) is the principal metal ion cofactor that binds to ATP, stabilizing its phosphate groups and facilitating correct positioning for the phosphoryl transfer reaction. In some cases, other divalent cations such as Mn²⁺ may substitute for Mg²⁺ under certain experimental conditions, but Mg²⁺ remains the primary cofactor in vivo (reys2022insilicoprofiling pages 29-32, reys2022insilicoprofiling pages 32-35). This requirement is common among protein kinases and is critical to both binding ATP in the active site and stabilizing the transition state during the catalysis. No additional cofactors have been described as essential for BLK activity beyond the anticipated requirement for ATP and Mg²⁺.</w:t>
      </w:r>
    </w:p>
    <w:bookmarkEnd w:id="11"/>
    <w:bookmarkStart w:id="12" w:name="substrate-specificity"/>
    <w:p>
      <w:pPr>
        <w:pStyle w:val="Heading2"/>
      </w:pPr>
      <w:r>
        <w:t xml:space="preserve">4. Substrate Specificity</w:t>
      </w:r>
    </w:p>
    <w:p>
      <w:pPr>
        <w:pStyle w:val="FirstParagraph"/>
      </w:pPr>
      <w:r>
        <w:t xml:space="preserve">BLK displays substrate specificity characteristic of Src family tyrosine kinases. Physiologically, BLK phosphorylates key components of the B cell receptor (BCR) signaling cascade. Notably, it phosphorylates CD79A on tyrosine residues Tyr-188 and Tyr-199, and CD79B on Tyr-196 and Tyr-207, which are critical for signal transduction upon antigen binding (OpenTargets Search: -BLK). In addition, BLK phosphorylates immunoglobulin G receptors – FCGR2A, FCGR2B, and FCGR2C – modulating downstream immune responsiveness (zhang2021srcfamilyprotein pages 1-2). BLK’s specificity is determined by the combination of its catalytic domain’s predisposition for tyrosine residues and the contribution of adjacent SH2 and SH3 domains that facilitate substrate docking, often via recognition of phosphotyrosine motifs in target proteins. Functionally, BLK helps set the threshold for B cell receptor signaling by engaging with immunoreceptor tyrosine-based activation motifs (ITAMs) within its substrates, which is critical for processes such as the pre-B to pro-B cell transition and the subsequent activation of NF-κB signaling pathways (zhang2021srcfamilyprotein pages 6-7). While a defined consensus substrate motif for BLK is not as extensively characterized as in some other kinases, its activity mirrors that of related Src family kinases, whereby acidic amino acids near the target tyrosine may enhance binding affinity and phosphorylation efficiency (kwon2019tracingtheevolution pages 60-65).</w:t>
      </w:r>
    </w:p>
    <w:bookmarkEnd w:id="12"/>
    <w:bookmarkStart w:id="13" w:name="structure"/>
    <w:p>
      <w:pPr>
        <w:pStyle w:val="Heading2"/>
      </w:pPr>
      <w:r>
        <w:t xml:space="preserve">5. Structure</w:t>
      </w:r>
    </w:p>
    <w:p>
      <w:pPr>
        <w:pStyle w:val="FirstParagraph"/>
      </w:pPr>
      <w:r>
        <w:t xml:space="preserve">The structure of BLK reflects its membership in the Src family kinases and comprises several conserved domains that coordinate its regulatory and catalytic functions. At the N-terminus, BLK possesses a myristoylation sequence that facilitates its association with cell membranes, thereby positioning the kinase in proximity to its substrates. Following the N-terminal region is a unique domain that contributes to its cell-specific interactions, followed by highly conserved Src homology domains – SH3 and SH2 – which mediate protein-protein interactions and contribute to the autoinhibition of the kinase through intramolecular contacts (zhang2021srcfamilyprotein pages 1-2, kwon2019tracingtheevolution pages 37-41). The central catalytic domain, characteristic of protein kinases, contains the conserved motifs essential for catalysis including the glycine-rich loop, the catalytic loop with the HRD motif, and the DFG motif at the start of the activation loop. These conserved features ensure proper ATP binding and align the substrate for efficient phosphoryl transfer (reys2022insilicoprofiling pages 29-32, kwon2019tracingtheevolution pages 37-41). In addition, the regulatory C-terminal portion of BLK often contains sequences that modulate its activity either through further post-translational modifications or through additional protein interactions that can lock the kinase in either an active or inactive conformation (zhang2021srcfamilyprotein pages 4-6). Unique structural adaptations in BLK, as in other Src family members, include residues that stabilize an autoinhibited conformation by positioning the SH2 or SH3 domains against the kinase domain, thereby preventing substrate access until proper activation cues (kwon2019tracingtheevolution pages 37-41).</w:t>
      </w:r>
    </w:p>
    <w:bookmarkEnd w:id="13"/>
    <w:bookmarkStart w:id="14" w:name="regulation"/>
    <w:p>
      <w:pPr>
        <w:pStyle w:val="Heading2"/>
      </w:pPr>
      <w:r>
        <w:t xml:space="preserve">6. Regulation</w:t>
      </w:r>
    </w:p>
    <w:p>
      <w:pPr>
        <w:pStyle w:val="FirstParagraph"/>
      </w:pPr>
      <w:r>
        <w:t xml:space="preserve">BLK is subject to multiple layers of regulation that control its catalytic activity and ensure proper temporal and spatial signaling in B cells. A major regulatory mechanism is mediated by phosphorylation. BLK activity is modulated by the phosphorylation state of key tyrosine residues both within the activation loop of the kinase domain and in its C-terminal regulatory region. Dephosphorylation of an inhibitory tyrosine—analogous to the regulatory mechanisms seen in other Src family kinases—activates BLK, while phosphorylation of the activation loop promotes full catalytic activity (zhang2021srcfamilyprotein pages 4-6, kwon2019tracingtheevolution pages 37-41). Additionally, the autoinhibitory conformation maintained through intramolecular interactions of the SH2 and SH3 domains with the kinase domain plays a critical role in preventing aberrant kinase activity. Such regulation ensures that BLK remains inactive in the absence of appropriate receptor-mediated signals. Upon engagement of the B cell antigen receptor (BCR) by antigen, conformational changes are induced that relieve autoinhibition, allowing BLK to phosphorylate its substrates and propagate the B cell activation signal (zhang2021srcfamilyprotein pages 7-8). Outside the lymphoid context, regulatory mechanisms may also involve interactions with other signaling proteins or feedback loops that adjust BLK activity. For instance, BLK indirectly contributes to the activation of BTK by promoting its autophosphorylation, which in turn is essential for sustaining downstream signaling cascades in B cell differentiation and apoptosis (OpenTargets Search: -BLK). These phosphorylation events, combined with dynamic protein–protein interactions mediated by its SH2 and SH3 domains, exemplify the fine-tuned regulatory control that ensures BLK is activated only in response to precise cellular cues (kwon2019tracingtheevolution pages 37-41, zhang2021srcfamilyprotein pages 6-7).</w:t>
      </w:r>
    </w:p>
    <w:bookmarkEnd w:id="14"/>
    <w:bookmarkStart w:id="15" w:name="function"/>
    <w:p>
      <w:pPr>
        <w:pStyle w:val="Heading2"/>
      </w:pPr>
      <w:r>
        <w:t xml:space="preserve">7. Function</w:t>
      </w:r>
    </w:p>
    <w:p>
      <w:pPr>
        <w:pStyle w:val="FirstParagraph"/>
      </w:pPr>
      <w:r>
        <w:t xml:space="preserve">BLK functions predominantly as a signal transducer in B cells, where it plays an essential role in development, differentiation, and activation. By phosphorylating key substrates of the B cell receptor (BCR) complex, BLK initiates and amplifies intracellular signals in response to antigen engagement. Its well‐characterized substrates include CD79A and CD79B, which upon phosphorylation create binding sites for additional signaling molecules such as Syk, ultimately leading to the activation of downstream cascades like NF‑κB, MAPK, and PI3K pathways that regulate B cell survival, proliferation, and differentiation (zhang2021srcfamilyprotein pages 1-2, zhang2021srcfamilyprotein pages 9-10). BLK is also known to function in the pre-B cell receptor (pre-BCR) signaling necessary for the pro‑B to pre‑B transition, thereby influencing early B cell development and ensuring proper antibody repertoire formation (zhang2021srcfamilyprotein pages 7-8). Moreover, in pancreatic islets, BLK has been implicated in modulating beta‑cell function by up‑regulating key transcription factors such as PDX1 and NKX6‑1, which in turn stimulate insulin secretion in response to glucose, suggesting a broader role in metabolic regulation outside the immune system (OpenTargets Search: -BLK). Additionally, BLK has been shown to phosphorylate CGAS, thereby promoting its retention in the cytosol and influencing innate immune responses (OpenTargets Search: -BLK). Collectively, these functions underscore BLK’s critical participation in both adaptive and innate immune responses as well as in metabolic regulation, linking its activity to processes such as immune tolerance, apoptosis, and cellular differentiation (zhang2021srcfamilyprotein pages 6-7, kwon2019tracingtheevolution pages 60-65).</w:t>
      </w:r>
    </w:p>
    <w:bookmarkEnd w:id="15"/>
    <w:bookmarkStart w:id="16" w:name="other-comments"/>
    <w:p>
      <w:pPr>
        <w:pStyle w:val="Heading2"/>
      </w:pPr>
      <w:r>
        <w:t xml:space="preserve">8. Other Comments</w:t>
      </w:r>
    </w:p>
    <w:p>
      <w:pPr>
        <w:pStyle w:val="FirstParagraph"/>
      </w:pPr>
      <w:r>
        <w:t xml:space="preserve">BLK has attracted considerable research interest not only because of its central role in B cell receptor signaling but also due to its emerging associations with several autoimmune diseases such as systemic lupus erythematosus and rheumatoid arthritis. Genetic studies have linked polymorphisms in the BLK promoter and intronic regions with altered expression and susceptibility to autoimmunity, implicating dysregulated BLK signaling in the pathogenesis of these disorders (zhang2021srcfamilyprotein pages 6-7). In addition to its immunological roles, BLK’s function in pancreatic beta cells suggests that it might represent a point of convergence between immune signaling and metabolic regulation, further broadening its potential as a therapeutic target. Although direct BLK-specific inhibitors are not as well characterized as some of its Src family counterparts, small molecule inhibitors that target the ATP-binding pocket or allosterically modulate Src family kinase activity—such as dasatinib—are known to affect BLK activity (bhanumathy2021proteintyrosinekinases pages 7-9, potter2023globalmethodsfor pages 75-78). Current research is exploring not only the identification of selective inhibitors for BLK but also the detailed mapping of its phosphorylation sites and downstream signaling partners, which could yield insights into its precise regulatory mechanisms and the development of targeted therapies for autoimmune diseases and other conditions linked to B cell dysregulation (kwon2019tracingtheevolution pages 60-65, zhang2021srcfamilyprotein pages 9-10). Another area of active interest is the investigation of BLK mutations and their potential impact on kinase function, substrate specificity, and regulation, with implications for novel diagnostic and therapeutic strategies. Researchers continue to refine the use of mass spectrometry, peptide microarray analyses, and structural studies to delineate the comprehensive functional profile of BLK (lai2015investigationsofthe pages 23-28, reys2022insilicoprofiling pages 29-32).</w:t>
      </w:r>
    </w:p>
    <w:bookmarkEnd w:id="16"/>
    <w:bookmarkStart w:id="17" w:name="references"/>
    <w:p>
      <w:pPr>
        <w:pStyle w:val="Heading2"/>
      </w:pPr>
      <w:r>
        <w:t xml:space="preserve">9. References</w:t>
      </w:r>
    </w:p>
    <w:p>
      <w:pPr>
        <w:pStyle w:val="Compact"/>
        <w:numPr>
          <w:ilvl w:val="0"/>
          <w:numId w:val="1001"/>
        </w:numPr>
      </w:pPr>
      <w:r>
        <w:t xml:space="preserve">OpenTargets Search: -BLK</w:t>
      </w:r>
      <w:r>
        <w:br/>
      </w:r>
    </w:p>
    <w:p>
      <w:pPr>
        <w:pStyle w:val="Compact"/>
        <w:numPr>
          <w:ilvl w:val="0"/>
          <w:numId w:val="1001"/>
        </w:numPr>
      </w:pPr>
      <w:r>
        <w:t xml:space="preserve">kwon2019tracingtheevolution pages 41-45</w:t>
      </w:r>
      <w:r>
        <w:br/>
      </w:r>
    </w:p>
    <w:p>
      <w:pPr>
        <w:pStyle w:val="Compact"/>
        <w:numPr>
          <w:ilvl w:val="0"/>
          <w:numId w:val="1001"/>
        </w:numPr>
      </w:pPr>
      <w:r>
        <w:t xml:space="preserve">reys2022insilicoprofiling pages 29-32</w:t>
      </w:r>
      <w:r>
        <w:br/>
      </w:r>
    </w:p>
    <w:p>
      <w:pPr>
        <w:pStyle w:val="Compact"/>
        <w:numPr>
          <w:ilvl w:val="0"/>
          <w:numId w:val="1001"/>
        </w:numPr>
      </w:pPr>
      <w:r>
        <w:t xml:space="preserve">reys2022insilicoprofiling pages 32-35</w:t>
      </w:r>
      <w:r>
        <w:br/>
      </w:r>
    </w:p>
    <w:p>
      <w:pPr>
        <w:pStyle w:val="Compact"/>
        <w:numPr>
          <w:ilvl w:val="0"/>
          <w:numId w:val="1001"/>
        </w:numPr>
      </w:pPr>
      <w:r>
        <w:t xml:space="preserve">zhang2021srcfamilyprotein pages 1-2</w:t>
      </w:r>
      <w:r>
        <w:br/>
      </w:r>
    </w:p>
    <w:p>
      <w:pPr>
        <w:pStyle w:val="Compact"/>
        <w:numPr>
          <w:ilvl w:val="0"/>
          <w:numId w:val="1001"/>
        </w:numPr>
      </w:pPr>
      <w:r>
        <w:t xml:space="preserve">bhanumathy2021proteintyrosinekinases pages 7-9</w:t>
      </w:r>
      <w:r>
        <w:br/>
      </w:r>
    </w:p>
    <w:p>
      <w:pPr>
        <w:pStyle w:val="Compact"/>
        <w:numPr>
          <w:ilvl w:val="0"/>
          <w:numId w:val="1001"/>
        </w:numPr>
      </w:pPr>
      <w:r>
        <w:t xml:space="preserve">gallegos2016theoreticalstudyon pages 12-15</w:t>
      </w:r>
      <w:r>
        <w:br/>
      </w:r>
    </w:p>
    <w:p>
      <w:pPr>
        <w:pStyle w:val="Compact"/>
        <w:numPr>
          <w:ilvl w:val="0"/>
          <w:numId w:val="1001"/>
        </w:numPr>
      </w:pPr>
      <w:r>
        <w:t xml:space="preserve">kwon2019tracingtheevolution pages 60-65</w:t>
      </w:r>
      <w:r>
        <w:br/>
      </w:r>
    </w:p>
    <w:p>
      <w:pPr>
        <w:pStyle w:val="Compact"/>
        <w:numPr>
          <w:ilvl w:val="0"/>
          <w:numId w:val="1001"/>
        </w:numPr>
      </w:pPr>
      <w:r>
        <w:t xml:space="preserve">zhang2021srcfamilyprotein pages 4-6</w:t>
      </w:r>
      <w:r>
        <w:br/>
      </w:r>
    </w:p>
    <w:p>
      <w:pPr>
        <w:pStyle w:val="Compact"/>
        <w:numPr>
          <w:ilvl w:val="0"/>
          <w:numId w:val="1001"/>
        </w:numPr>
      </w:pPr>
      <w:r>
        <w:t xml:space="preserve">zhang2021srcfamilyprotein pages 6-7</w:t>
      </w:r>
      <w:r>
        <w:br/>
      </w:r>
    </w:p>
    <w:p>
      <w:pPr>
        <w:pStyle w:val="Compact"/>
        <w:numPr>
          <w:ilvl w:val="0"/>
          <w:numId w:val="1001"/>
        </w:numPr>
      </w:pPr>
      <w:r>
        <w:t xml:space="preserve">zhang2021srcfamilyprotein pages 7-8</w:t>
      </w:r>
      <w:r>
        <w:br/>
      </w:r>
    </w:p>
    <w:p>
      <w:pPr>
        <w:pStyle w:val="Compact"/>
        <w:numPr>
          <w:ilvl w:val="0"/>
          <w:numId w:val="1001"/>
        </w:numPr>
      </w:pPr>
      <w:r>
        <w:t xml:space="preserve">zhang2021srcfamilyprotein pages 9-10</w:t>
      </w:r>
      <w:r>
        <w:br/>
      </w:r>
    </w:p>
    <w:p>
      <w:pPr>
        <w:pStyle w:val="Compact"/>
        <w:numPr>
          <w:ilvl w:val="0"/>
          <w:numId w:val="1001"/>
        </w:numPr>
      </w:pPr>
      <w:r>
        <w:t xml:space="preserve">kwon2019tracingtheevolution pages 37-41</w:t>
      </w:r>
      <w:r>
        <w:br/>
      </w:r>
    </w:p>
    <w:p>
      <w:pPr>
        <w:pStyle w:val="Compact"/>
        <w:numPr>
          <w:ilvl w:val="0"/>
          <w:numId w:val="1001"/>
        </w:numPr>
      </w:pPr>
      <w:r>
        <w:t xml:space="preserve">reys2022insilicoprofiling pages 29-32</w:t>
      </w:r>
      <w:r>
        <w:br/>
      </w:r>
    </w:p>
    <w:p>
      <w:pPr>
        <w:pStyle w:val="Compact"/>
        <w:numPr>
          <w:ilvl w:val="0"/>
          <w:numId w:val="1001"/>
        </w:numPr>
      </w:pPr>
      <w:r>
        <w:t xml:space="preserve">potter2023globalmethodsfor pages 75-78</w:t>
      </w:r>
      <w:r>
        <w:br/>
      </w:r>
    </w:p>
    <w:p>
      <w:pPr>
        <w:pStyle w:val="Compact"/>
        <w:numPr>
          <w:ilvl w:val="0"/>
          <w:numId w:val="1001"/>
        </w:numPr>
      </w:pPr>
      <w:r>
        <w:t xml:space="preserve">lai2015investigationsofthe pages 23-28</w:t>
      </w:r>
    </w:p>
    <w:p>
      <w:pPr>
        <w:pStyle w:val="FirstParagraph"/>
      </w:pPr>
      <w:r>
        <w:t xml:space="preserve">References</w:t>
      </w:r>
    </w:p>
    <w:p>
      <w:pPr>
        <w:numPr>
          <w:ilvl w:val="0"/>
          <w:numId w:val="1002"/>
        </w:numPr>
      </w:pPr>
      <w:r>
        <w:t xml:space="preserve">(OpenTargets Search: -BLK): Open Targets Query (-BLK, 5 results). Ochoa, D. et al. (2023). The next-generation Open Targets Platform: reimagined, redesigned, rebuilt. Nucleic Acids Research.</w:t>
      </w:r>
    </w:p>
    <w:p>
      <w:pPr>
        <w:numPr>
          <w:ilvl w:val="0"/>
          <w:numId w:val="1002"/>
        </w:numPr>
      </w:pPr>
      <w:r>
        <w:t xml:space="preserve">(kwon2019tracingtheevolution pages 41-45): HA Kwon. Tracing the evolution of the tyrosine kinome from sequence to function. Unknown journal, 2019.</w:t>
      </w:r>
    </w:p>
    <w:p>
      <w:pPr>
        <w:numPr>
          <w:ilvl w:val="0"/>
          <w:numId w:val="1002"/>
        </w:numPr>
      </w:pPr>
      <w:r>
        <w:t xml:space="preserve">(potter2023globalmethodsfor pages 75-78): ZE Potter. Global methods for discovering and characterizing regulatory mechanisms of multi-domain protein kinases. Unknown journal, 2023.</w:t>
      </w:r>
    </w:p>
    <w:p>
      <w:pPr>
        <w:numPr>
          <w:ilvl w:val="0"/>
          <w:numId w:val="1002"/>
        </w:numPr>
      </w:pPr>
      <w:r>
        <w:t xml:space="preserve">(zhang2021srcfamilyprotein pages 4-6):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6-7):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(gallegos2016theoreticalstudyon pages 12-15): A Pérez Gallegos. Theoretical study on the mechanism of the reaction catalyzed by protein kinase a. Unknown journal, 2016.</w:t>
      </w:r>
    </w:p>
    <w:p>
      <w:pPr>
        <w:numPr>
          <w:ilvl w:val="0"/>
          <w:numId w:val="1002"/>
        </w:numPr>
      </w:pPr>
      <w:r>
        <w:t xml:space="preserve">(lai2015investigationsofthe pages 23-28):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(reys2022insilicoprofiling pages 29-32): V Reys. In silico profiling of protein-kinases inhibitors and study of protein-protein interactions. Unknown journal, 2022.</w:t>
      </w:r>
    </w:p>
    <w:p>
      <w:pPr>
        <w:numPr>
          <w:ilvl w:val="0"/>
          <w:numId w:val="1002"/>
        </w:numPr>
      </w:pPr>
      <w:r>
        <w:t xml:space="preserve">(reys2022insilicoprofiling pages 32-35): V Reys. In silico profiling of protein-kinases inhibitors and study of protein-protein interactions. Unknown journal, 2022.</w:t>
      </w:r>
    </w:p>
    <w:p>
      <w:pPr>
        <w:numPr>
          <w:ilvl w:val="0"/>
          <w:numId w:val="1002"/>
        </w:numPr>
      </w:pPr>
      <w:r>
        <w:t xml:space="preserve">(zhang2021srcfamilyprotein pages 1-2):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7-8):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9-10):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(bhanumathy2021proteintyrosinekinases pages 7-9):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(kwon2019tracingtheevolution pages 37-41): HA Kwon. Tracing the evolution of the tyrosine kinome from sequence to function. Unknown journal, 2019.</w:t>
      </w:r>
    </w:p>
    <w:p>
      <w:pPr>
        <w:numPr>
          <w:ilvl w:val="0"/>
          <w:numId w:val="1002"/>
        </w:numPr>
      </w:pPr>
      <w:r>
        <w:t xml:space="preserve">(kwon2019tracingtheevolution pages 60-65): HA Kwon. Tracing the evolution of the tyrosine kinome from sequence to function. Unknown journal, 2019.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