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also known as BMX, is a non‐receptor tyrosine kinase encoded by the ETK gene (yccC) that belongs to the Tec family of protein tyrosine kinases. ETK shares a modular domain architecture consisting of an N‐terminal pleckstrin homology (PH) domain, followed by Src homology (SH) domains (SH3 and SH2) and a C‐terminal catalytic kinase domain. These features place ETK in close evolutionary relationship with other Tec family members such as Bruton’s tyrosine kinase (Btk), Itk, Tec, and Txk, which all share similar domain organizations and conserved catalytic motifs. Comparative sequence analysis indicates that orthologs of ETK have been identified in various mammalian species, and overall evolutionary studies show that the Tec kinases appeared early in vertebrate evolution as part of the expanding repertoire of non‐receptor tyrosine kinases that mediate complex intracellular signaling cascades (bagheriyarmand2001etkbmxtyrosinekinase pages 1-1, mano1999tecfamilyof pages 1-2, ortutay2008phylogenyoftec pages 1-4, krupa2002therepertoireof pages 2-3). The phylogenetic distribution of ETK, coupled with the conservation of its catalytic and regulatory domains, supports the idea that its functions in signal integration—particularly those related to lipid binding and protein–protein interactions—have been maintained throughout evolution. This conserved evolutionary lineage underscores ETK’s central role in integrating extracellular and intracellular signals in various cell types, including endothelial, epithelial, and hematopoietic cells (bagheriyarmand2001etkbmxtyrosinekinase pages 1-1, ortutay2008phylogenyoftec pages 1-4).</w:t>
      </w:r>
    </w:p>
    <w:p>
      <w:pPr>
        <w:numPr>
          <w:ilvl w:val="0"/>
          <w:numId w:val="1001"/>
        </w:numPr>
      </w:pPr>
      <w:r>
        <w:t xml:space="preserve">Reaction Catalyzed</w:t>
      </w:r>
      <w:r>
        <w:br/>
      </w:r>
      <w:r>
        <w:t xml:space="preserve">ETK catalyzes a phosphoryl transfer reaction, which is the hallmark of protein tyrosine kinases. The chemical reaction mediated by ETK is described as:</w:t>
      </w:r>
      <w:r>
        <w:br/>
      </w:r>
      <w:r>
        <w:t xml:space="preserve">  ATP + [protein]-L-tyrosine → ADP + [protein]-L-tyrosine-phosphate + H⁺.</w:t>
      </w:r>
      <w:r>
        <w:br/>
      </w:r>
      <w:r>
        <w:t xml:space="preserve">In this reaction, ETK uses ATP as the phosphate donor to phosphorylate specific tyrosine residues on substrate proteins, thereby generating phosphotyrosine moieties that serve as docking sites for downstream signaling molecules. This reaction forms the basis for tyrosine-based signal transduction pathways, enabling the modulation of protein functions and the propagation of intracellular signals (johnson2023anatlasof pages 1-2, yaronbarir2024theintrinsicsubstrate pages 7-8).</w:t>
      </w:r>
    </w:p>
    <w:p>
      <w:pPr>
        <w:numPr>
          <w:ilvl w:val="0"/>
          <w:numId w:val="1001"/>
        </w:numPr>
      </w:pPr>
      <w:r>
        <w:t xml:space="preserve">Cofactor Requirements</w:t>
      </w:r>
      <w:r>
        <w:br/>
      </w:r>
      <w:r>
        <w:t xml:space="preserve">The catalytic activity of ETK, like that of most protein kinases, is dependent on the presence of divalent cations. In particular, Mg²⁺ is required as an essential cofactor that binds to ATP within the kinase active site. The coordination provided by Mg²⁺ facilitates the proper alignment of ATP for the nucleophilic attack on the hydroxyl group of the substrate tyrosine residue. This cofactor dependency is a common mechanistic requirement among kinases and is critical for ensuring the efficiency and fidelity of the phosphorylation process (yaronbarir2024theintrinsicsubstrate pages 7-8).</w:t>
      </w:r>
    </w:p>
    <w:p>
      <w:pPr>
        <w:numPr>
          <w:ilvl w:val="0"/>
          <w:numId w:val="1001"/>
        </w:numPr>
      </w:pPr>
      <w:r>
        <w:t xml:space="preserve">Substrate Specificity</w:t>
      </w:r>
      <w:r>
        <w:br/>
      </w:r>
      <w:r>
        <w:t xml:space="preserve">ETK exhibits substrate specificity that is characteristic of the tyrosine kinase family. Recent high‐throughput studies investigating the intrinsic substrate specificity of the human tyrosine kinome have revealed that ETK preferentially phosphorylates substrates displaying a motif enriched for acidic residues proximal to the target tyrosine. In these substrates, key acidic amino acids flank the phosphorylation site, creating an environment that favors the acceptance of a phosphate group on the tyrosine residue. Moreover, analyses indicate that there is a pronounced disfavor toward substrates having potential phosphoacceptor residues at the +3 position relative to the tyrosine. These findings have been derived using peptide array technologies and computational motif extraction tools that define the consensus substrate motif for tyrosine kinases such as ETK (johnson2023anatlasof pages 1-2, yaronbarir2024theintrinsicsubstrate pages 7-8).</w:t>
      </w:r>
    </w:p>
    <w:p>
      <w:pPr>
        <w:numPr>
          <w:ilvl w:val="0"/>
          <w:numId w:val="1001"/>
        </w:numPr>
      </w:pPr>
      <w:r>
        <w:t xml:space="preserve">Structure</w:t>
      </w:r>
      <w:r>
        <w:br/>
      </w:r>
      <w:r>
        <w:t xml:space="preserve">The three-dimensional structure of ETK conforms to the modular organization typical of the Tec family of kinases. The N-terminal portion of ETK harbors a pleckstrin homology (PH) domain, which is primarily responsible for binding to phosphoinositide lipids at the plasma membrane. This localization signal is crucial for targeting ETK to specific membrane microdomains where it interacts with upstream activators and downstream effectors. Immediately following the PH domain is an SH3 domain, which generally binds to proline-rich sequences, and an SH2 domain that interacts with phosphotyrosine motifs on partner proteins. These domains collectively facilitate the assembly of signaling complexes and contribute to the regulation of ETK’s catalytic activity (bagheriyarmand2001etkbmxtyrosinekinase pages 1-1, qiu1998etkbmxatyrosine pages 1-2).</w:t>
      </w:r>
    </w:p>
    <w:p>
      <w:pPr>
        <w:pStyle w:val="FirstParagraph"/>
      </w:pPr>
      <w:r>
        <w:t xml:space="preserve">The C-terminal region of ETK comprises the highly conserved kinase domain, which is organized into the classic bilobal structure observed in many protein kinases. The N-terminal lobe of the kinase domain is predominantly composed of β-strands and contains the ATP-binding pocket, whereas the larger C-terminal lobe is mainly α-helical and is responsible for substrate binding. Key structural features include the activation loop, which undergoes conformational changes upon phosphorylation to enhance catalytic activity, a hydrophobic spine that stabilizes the active conformation, and a conserved C-helix that plays a pivotal role in aligning catalytic residues for efficient phosphotransfer. Structural studies, including crystallographic data and predictive models from AlphaFold, have confirmed that these features are highly conserved in ETK, underscoring the mechanistic parallels it shares with other members of the tyrosine kinase family (bagheriyarmand2001etkbmxtyrosinekinase pages 1-1, corwin2016decipheringhumancytoplasmic pages 13-16, yaronbarir2024theintrinsicsubstrate pages 7-8).</w:t>
      </w:r>
    </w:p>
    <w:p>
      <w:pPr>
        <w:pStyle w:val="BodyText"/>
      </w:pPr>
      <w:r>
        <w:t xml:space="preserve">Beyond these canonical kinase features, the unique combination of the PH, SH3, and SH2 domains in ETK provides a distinctive framework for autoinhibition and activation. In the autoinhibited state, intramolecular interactions among these domains can mask the active site, thereby preventing unwarranted kinase activity. Release of this autoinhibition, often triggered by interactions with membrane lipids or binding of phosphotyrosine-containing ligands, leads to structural rearrangements that open the active site, permitting ATP binding and subsequent phosphorylation of substrates (lee2008structureofescherichia pages 1-2, qiu1998etkbmxatyrosine pages 1-2).</w:t>
      </w:r>
    </w:p>
    <w:p>
      <w:pPr>
        <w:pStyle w:val="Compact"/>
        <w:numPr>
          <w:ilvl w:val="0"/>
          <w:numId w:val="1002"/>
        </w:numPr>
      </w:pPr>
      <w:r>
        <w:t xml:space="preserve">Regulation</w:t>
      </w:r>
      <w:r>
        <w:br/>
      </w:r>
      <w:r>
        <w:t xml:space="preserve">ETK is subjected to multifaceted regulatory mechanisms that tightly control its catalytic activity and signaling output. One important mechanism is autophosphorylation, particularly within the activation loop of the kinase domain. Autophosphorylation serves to transition the kinase from a closed, inactive conformation to an open, active conformation, thereby elevating its catalytic efficiency for phosphorylating target substrates. Additionally, ETK can be phosphorylated by upstream members of the Src family, which further bolsters its activation state by reinforcing the autophosphorylated conformation (qiu1998etkbmxatyrosine pages 3-4, tsai2000etkabtk pages 1-2).</w:t>
      </w:r>
    </w:p>
    <w:p>
      <w:pPr>
        <w:pStyle w:val="FirstParagraph"/>
      </w:pPr>
      <w:r>
        <w:t xml:space="preserve">The regulatory SH2 and SH3 domains contribute to autoinhibition by mediating intramolecular interactions that maintain ETK in an inactive state under basal conditions. Binding events that disrupt these intramolecular contacts—such as the engagement of the PH domain with membrane lipids produced via PI3K signaling or the interaction of the SH2/SH3 domains with external phosphotyrosine or proline-rich sequences—release these inhibitory constraints and promote full activation of the kinase. Physiological stimuli, including factors like heregulin (HRG) and IL-6, have been shown to promote ETK activation, particularly in the context of breast cancer cells, where ETK activation is linked to enhanced autophosphorylation and downstream signaling (bagheriyarmand2001etkbmxtyrosinekinase pages 3-4, chen2001regulationofthe pages 2-2, tsai2000etkabtk pages 1-2, corwin2016decipheringhumancytoplasmic pages 13-16).</w:t>
      </w:r>
    </w:p>
    <w:p>
      <w:pPr>
        <w:pStyle w:val="BodyText"/>
      </w:pPr>
      <w:r>
        <w:t xml:space="preserve">The overall regulation of ETK involves a balance between kinase activation driven by phosphorylation events and inhibitory mechanisms that prevent excessive signaling. This dynamic equilibrium is essential for ensuring that ETK-mediated phosphorylation events occur only in response to appropriate extracellular signals, thereby maintaining normal cellular homeostasis (wen1999kinaseactivationof pages 6-7, wu2001proteolyticactivationof pages 1-1).</w:t>
      </w:r>
    </w:p>
    <w:p>
      <w:pPr>
        <w:pStyle w:val="Compact"/>
        <w:numPr>
          <w:ilvl w:val="0"/>
          <w:numId w:val="1003"/>
        </w:numPr>
      </w:pPr>
      <w:r>
        <w:t xml:space="preserve">Function</w:t>
      </w:r>
      <w:r>
        <w:br/>
      </w:r>
      <w:r>
        <w:t xml:space="preserve">ETK occupies a central role in the regulation of multiple cellular processes by transducing extracellular signals into intracellular responses. Expression of ETK has been detected in various cell types—ranging from epithelial and endothelial cells to hematopoietic cells—and it is known to be dynamically regulated during developmental processes such as mammary gland morphogenesis. ETK’s established function includes acting as an upstream activator of p21-activated kinase 1 (Pak1), a serine/threonine kinase critical for orchestrating cytoskeletal rearrangements, cell motility, and anchorage-independent cell growth. In breast cancer cells, ETK-mediated phosphorylation of Pak1 has been directly linked to tumorigenic properties, as evidenced by experiments where kinase-inactive mutants of ETK lead to diminished Pak1 activity, reduced anchorage-independent growth, and impaired tumor formation in xenograft models (bagheriyarmand2001etkbmxtyrosinekinase pages 5-6, chen2001regulationofthe pages 2-2).</w:t>
      </w:r>
    </w:p>
    <w:p>
      <w:pPr>
        <w:pStyle w:val="FirstParagraph"/>
      </w:pPr>
      <w:r>
        <w:t xml:space="preserve">In addition to its role in Pak1 activation, ETK interacts with focal adhesion kinase (FAK) via its PH domain. This interaction effectively couples integrin-mediated cell adhesion to intracellular signaling pathways, regulating processes such as cell migration and morphological changes by modulating cytoskeletal organization. ETK’s activity is further implicated in signal transduction pathways triggered by growth factors and cytokines, including those mediated by phosphatidylinositol 3-kinase (PI3K), which is known to be a critical upstream activator of ETK. In immune cell contexts, ETK also participates in propagating signals downstream of receptor engagement, thereby influencing cell survival, differentiation, and inflammatory responses (bagheriyarmand2001etkbmxtyrosinekinase pages 1-1, bagheriyarmand2001etkbmxtyrosinekinase pages 3-4, qiu1998etkbmxatyrosine pages 1-2, chen2001regulationofthe pages 2-2).</w:t>
      </w:r>
    </w:p>
    <w:p>
      <w:pPr>
        <w:pStyle w:val="BodyText"/>
      </w:pPr>
      <w:r>
        <w:t xml:space="preserve">Experimental evidence has established that ETK functions not only in the normal regulation of cell proliferation and migration but also contributes to oncogenic signaling. Aberrant activation or overexpression of ETK is associated with enhanced tumorigenic phenotypes, particularly in breast and prostate cancers, where ETK functions as a critical mediator linking extracellular cues to intracellular transformation processes. Moreover, in addition to Pak1, ETK appears to influence other signaling effectors through phosphorylation-dependent mechanisms, thereby modulating a broad array of cellular responses (bagheriyarmand2001etkbmxtyrosinekinase pages 1-1, bagheriyarmand2001etkbmxtyrosinekinase pages 5-6, qiu1998etkbmxatyrosine pages 3-4).</w:t>
      </w:r>
    </w:p>
    <w:p>
      <w:pPr>
        <w:numPr>
          <w:ilvl w:val="0"/>
          <w:numId w:val="1004"/>
        </w:numPr>
      </w:pPr>
      <w:r>
        <w:t xml:space="preserve">Other Comments</w:t>
      </w:r>
      <w:r>
        <w:br/>
      </w:r>
      <w:r>
        <w:t xml:space="preserve">ETK is considered an attractive target for therapeutic intervention due to its integral role in mediating oncogenic signaling pathways and its impact on cellular processes such as migration, proliferation, and survival. Several small-molecule inhibitors have been explored to modulate ETK activity by targeting its ATP-binding pocket or exploiting allosteric sites that are unique to Tec family kinases. Although detailed inhibitor profiles for ETK are still under investigation, early studies have reported that inhibition of ETK activity leads to reduced tumor cell growth and impaired cell migration, suggesting potential benefits for treating cancers in which ETK signaling is dysregulated. In addition, alterations in the expression level or post-translational modifications of ETK have been linked to abnormal cell behavior, further supporting its candidacy as a drug target in pathological states such as breast cancer and inflammatory conditions (cenni2012bmxandits pages 6-7, tsai2000etkabtk pages 1-2, wen1999kinaseactivationof pages 6-7). No specific mutations have been universally reported in ETK that are directly associated with human disease; however, experimentally induced kinase-dead mutants and dominant-negative forms have provided significant insight into the kinase’s role in signal transduction and tumorigenicity. Continued research into the molecular mechanisms regulating ETK activity, including its upstream activators and downstream effectors, is expected to refine the understanding of its role in disease and to guide the development of more selective inhibitors (cenni2012bmxandits pages 6-7, tsai2000etkabtk pages 1-2).</w:t>
      </w:r>
    </w:p>
    <w:p>
      <w:pPr>
        <w:numPr>
          <w:ilvl w:val="0"/>
          <w:numId w:val="1004"/>
        </w:numPr>
      </w:pPr>
      <w:r>
        <w:t xml:space="preserve">References</w:t>
      </w:r>
      <w:r>
        <w:br/>
      </w:r>
    </w:p>
    <w:p>
      <w:pPr>
        <w:pStyle w:val="Compact"/>
        <w:numPr>
          <w:ilvl w:val="0"/>
          <w:numId w:val="1005"/>
        </w:numPr>
      </w:pPr>
      <w:r>
        <w:t xml:space="preserve">bagheriyarmand2001etkbmxtyrosinekinase pages 1-1</w:t>
      </w:r>
      <w:r>
        <w:br/>
      </w:r>
    </w:p>
    <w:p>
      <w:pPr>
        <w:pStyle w:val="Compact"/>
        <w:numPr>
          <w:ilvl w:val="0"/>
          <w:numId w:val="1005"/>
        </w:numPr>
      </w:pPr>
      <w:r>
        <w:t xml:space="preserve">bagheriyarmand2001etkbmxtyrosinekinase pages 3-4</w:t>
      </w:r>
      <w:r>
        <w:br/>
      </w:r>
    </w:p>
    <w:p>
      <w:pPr>
        <w:pStyle w:val="Compact"/>
        <w:numPr>
          <w:ilvl w:val="0"/>
          <w:numId w:val="1005"/>
        </w:numPr>
      </w:pPr>
      <w:r>
        <w:t xml:space="preserve">bagheriyarmand2001etkbmxtyrosinekinase pages 5-6</w:t>
      </w:r>
      <w:r>
        <w:br/>
      </w:r>
    </w:p>
    <w:p>
      <w:pPr>
        <w:pStyle w:val="Compact"/>
        <w:numPr>
          <w:ilvl w:val="0"/>
          <w:numId w:val="1005"/>
        </w:numPr>
      </w:pPr>
      <w:r>
        <w:t xml:space="preserve">cenni2012bmxandits pages 6-7</w:t>
      </w:r>
      <w:r>
        <w:br/>
      </w:r>
    </w:p>
    <w:p>
      <w:pPr>
        <w:pStyle w:val="Compact"/>
        <w:numPr>
          <w:ilvl w:val="0"/>
          <w:numId w:val="1005"/>
        </w:numPr>
      </w:pPr>
      <w:r>
        <w:t xml:space="preserve">chen2001regulationofthe pages 2-2</w:t>
      </w:r>
      <w:r>
        <w:br/>
      </w:r>
    </w:p>
    <w:p>
      <w:pPr>
        <w:pStyle w:val="Compact"/>
        <w:numPr>
          <w:ilvl w:val="0"/>
          <w:numId w:val="1005"/>
        </w:numPr>
      </w:pPr>
      <w:r>
        <w:t xml:space="preserve">corwin2016decipheringhumancytoplasmic pages 13-16</w:t>
      </w:r>
      <w:r>
        <w:br/>
      </w:r>
    </w:p>
    <w:p>
      <w:pPr>
        <w:pStyle w:val="Compact"/>
        <w:numPr>
          <w:ilvl w:val="0"/>
          <w:numId w:val="1005"/>
        </w:numPr>
      </w:pPr>
      <w:r>
        <w:t xml:space="preserve">johnson2023anatlasof pages 1-2</w:t>
      </w:r>
      <w:r>
        <w:br/>
      </w:r>
    </w:p>
    <w:p>
      <w:pPr>
        <w:pStyle w:val="Compact"/>
        <w:numPr>
          <w:ilvl w:val="0"/>
          <w:numId w:val="1005"/>
        </w:numPr>
      </w:pPr>
      <w:r>
        <w:t xml:space="preserve">krupa2002therepertoireof pages 2-3</w:t>
      </w:r>
      <w:r>
        <w:br/>
      </w:r>
    </w:p>
    <w:p>
      <w:pPr>
        <w:pStyle w:val="Compact"/>
        <w:numPr>
          <w:ilvl w:val="0"/>
          <w:numId w:val="1005"/>
        </w:numPr>
      </w:pPr>
      <w:r>
        <w:t xml:space="preserve">mano1999tecfamilyof pages 1-2</w:t>
      </w:r>
      <w:r>
        <w:br/>
      </w:r>
    </w:p>
    <w:p>
      <w:pPr>
        <w:pStyle w:val="Compact"/>
        <w:numPr>
          <w:ilvl w:val="0"/>
          <w:numId w:val="1005"/>
        </w:numPr>
      </w:pPr>
      <w:r>
        <w:t xml:space="preserve">ortutay2008phylogenyoftec pages 1-4</w:t>
      </w:r>
      <w:r>
        <w:br/>
      </w:r>
    </w:p>
    <w:p>
      <w:pPr>
        <w:pStyle w:val="Compact"/>
        <w:numPr>
          <w:ilvl w:val="0"/>
          <w:numId w:val="1005"/>
        </w:numPr>
      </w:pPr>
      <w:r>
        <w:t xml:space="preserve">qiu1998etkbmxatyrosine pages 1-2</w:t>
      </w:r>
      <w:r>
        <w:br/>
      </w:r>
    </w:p>
    <w:p>
      <w:pPr>
        <w:pStyle w:val="Compact"/>
        <w:numPr>
          <w:ilvl w:val="0"/>
          <w:numId w:val="1005"/>
        </w:numPr>
      </w:pPr>
      <w:r>
        <w:t xml:space="preserve">qiu1998etkbmxatyrosine pages 3-4</w:t>
      </w:r>
      <w:r>
        <w:br/>
      </w:r>
    </w:p>
    <w:p>
      <w:pPr>
        <w:pStyle w:val="Compact"/>
        <w:numPr>
          <w:ilvl w:val="0"/>
          <w:numId w:val="1005"/>
        </w:numPr>
      </w:pPr>
      <w:r>
        <w:t xml:space="preserve">tsai2000etkabtk pages 1-2</w:t>
      </w:r>
      <w:r>
        <w:br/>
      </w:r>
    </w:p>
    <w:p>
      <w:pPr>
        <w:pStyle w:val="Compact"/>
        <w:numPr>
          <w:ilvl w:val="0"/>
          <w:numId w:val="1005"/>
        </w:numPr>
      </w:pPr>
      <w:r>
        <w:t xml:space="preserve">wen1999kinaseactivationof pages 6-7</w:t>
      </w:r>
      <w:r>
        <w:br/>
      </w:r>
    </w:p>
    <w:p>
      <w:pPr>
        <w:pStyle w:val="Compact"/>
        <w:numPr>
          <w:ilvl w:val="0"/>
          <w:numId w:val="1005"/>
        </w:numPr>
      </w:pPr>
      <w:r>
        <w:t xml:space="preserve">wu2001proteolyticactivationof pages 1-1</w:t>
      </w:r>
      <w:r>
        <w:br/>
      </w:r>
    </w:p>
    <w:p>
      <w:pPr>
        <w:pStyle w:val="Compact"/>
        <w:numPr>
          <w:ilvl w:val="0"/>
          <w:numId w:val="1005"/>
        </w:numPr>
      </w:pPr>
      <w:r>
        <w:t xml:space="preserve">yaronbarir2024theintrinsicsubstrate pages 7-8</w:t>
      </w:r>
      <w:r>
        <w:br/>
      </w:r>
    </w:p>
    <w:p>
      <w:pPr>
        <w:pStyle w:val="Compact"/>
        <w:numPr>
          <w:ilvl w:val="0"/>
          <w:numId w:val="1005"/>
        </w:numPr>
      </w:pPr>
      <w:r>
        <w:t xml:space="preserve">bolen1997leukocyteproteintyrosine pages 6-9</w:t>
      </w:r>
      <w:r>
        <w:br/>
      </w:r>
    </w:p>
    <w:p>
      <w:pPr>
        <w:pStyle w:val="Compact"/>
        <w:numPr>
          <w:ilvl w:val="0"/>
          <w:numId w:val="1005"/>
        </w:numPr>
      </w:pPr>
      <w:r>
        <w:t xml:space="preserve">chen2013tyrosinekinasebmx pages 13-14</w:t>
      </w:r>
      <w:r>
        <w:br/>
      </w:r>
    </w:p>
    <w:p>
      <w:pPr>
        <w:pStyle w:val="Compact"/>
        <w:numPr>
          <w:ilvl w:val="0"/>
          <w:numId w:val="1005"/>
        </w:numPr>
      </w:pPr>
      <w:r>
        <w:t xml:space="preserve">ekman2003thebmxtyrosine pages 12-16</w:t>
      </w:r>
      <w:r>
        <w:br/>
      </w:r>
    </w:p>
    <w:p>
      <w:pPr>
        <w:pStyle w:val="Compact"/>
        <w:numPr>
          <w:ilvl w:val="0"/>
          <w:numId w:val="1005"/>
        </w:numPr>
      </w:pPr>
      <w:r>
        <w:t xml:space="preserve">ilan1999proteintyrosinekinases pages 1-2</w:t>
      </w:r>
      <w:r>
        <w:br/>
      </w:r>
    </w:p>
    <w:p>
      <w:pPr>
        <w:pStyle w:val="Compact"/>
        <w:numPr>
          <w:ilvl w:val="0"/>
          <w:numId w:val="1005"/>
        </w:numPr>
      </w:pPr>
      <w:r>
        <w:t xml:space="preserve">ilan1999proteintyrosinekinases pages 6-7</w:t>
      </w:r>
      <w:r>
        <w:br/>
      </w:r>
    </w:p>
    <w:p>
      <w:pPr>
        <w:pStyle w:val="Compact"/>
        <w:numPr>
          <w:ilvl w:val="0"/>
          <w:numId w:val="1005"/>
        </w:numPr>
      </w:pPr>
      <w:r>
        <w:t xml:space="preserve">ilan1999proteintyrosinekinases pages 4-5</w:t>
      </w:r>
      <w:r>
        <w:br/>
      </w:r>
    </w:p>
    <w:p>
      <w:pPr>
        <w:pStyle w:val="Compact"/>
        <w:numPr>
          <w:ilvl w:val="0"/>
          <w:numId w:val="1005"/>
        </w:numPr>
      </w:pPr>
      <w:r>
        <w:t xml:space="preserve">krupa2002therepertoireof pages 7-7</w:t>
      </w:r>
      <w:r>
        <w:br/>
      </w:r>
    </w:p>
    <w:p>
      <w:pPr>
        <w:pStyle w:val="Compact"/>
        <w:numPr>
          <w:ilvl w:val="0"/>
          <w:numId w:val="1005"/>
        </w:numPr>
      </w:pPr>
      <w:r>
        <w:t xml:space="preserve">lee2008structuralandfunctional pages 100-109</w:t>
      </w:r>
      <w:r>
        <w:br/>
      </w:r>
    </w:p>
    <w:p>
      <w:pPr>
        <w:pStyle w:val="Compact"/>
        <w:numPr>
          <w:ilvl w:val="0"/>
          <w:numId w:val="1005"/>
        </w:numPr>
      </w:pPr>
      <w:r>
        <w:t xml:space="preserve">lee2008structuralandfunctional pages 15-20</w:t>
      </w:r>
      <w:r>
        <w:br/>
      </w:r>
    </w:p>
    <w:p>
      <w:pPr>
        <w:pStyle w:val="Compact"/>
        <w:numPr>
          <w:ilvl w:val="0"/>
          <w:numId w:val="1005"/>
        </w:numPr>
      </w:pPr>
      <w:r>
        <w:t xml:space="preserve">lee2008structuralandfunctional pages 25-30</w:t>
      </w:r>
      <w:r>
        <w:br/>
      </w:r>
    </w:p>
    <w:p>
      <w:pPr>
        <w:pStyle w:val="Compact"/>
        <w:numPr>
          <w:ilvl w:val="0"/>
          <w:numId w:val="1005"/>
        </w:numPr>
      </w:pPr>
      <w:r>
        <w:t xml:space="preserve">lee2008structuralandfunctional pages 47-52</w:t>
      </w:r>
      <w:r>
        <w:br/>
      </w:r>
    </w:p>
    <w:p>
      <w:pPr>
        <w:pStyle w:val="Compact"/>
        <w:numPr>
          <w:ilvl w:val="0"/>
          <w:numId w:val="1005"/>
        </w:numPr>
      </w:pPr>
      <w:r>
        <w:t xml:space="preserve">lee2008structuralandfunctional pages 94-100</w:t>
      </w:r>
      <w:r>
        <w:br/>
      </w:r>
    </w:p>
    <w:p>
      <w:pPr>
        <w:pStyle w:val="Compact"/>
        <w:numPr>
          <w:ilvl w:val="0"/>
          <w:numId w:val="1005"/>
        </w:numPr>
      </w:pPr>
      <w:r>
        <w:t xml:space="preserve">lee2008structuralandfunctional pages 123-131</w:t>
      </w:r>
      <w:r>
        <w:br/>
      </w:r>
    </w:p>
    <w:p>
      <w:pPr>
        <w:pStyle w:val="Compact"/>
        <w:numPr>
          <w:ilvl w:val="0"/>
          <w:numId w:val="1005"/>
        </w:numPr>
      </w:pPr>
      <w:r>
        <w:t xml:space="preserve">lee2008structuralandfunctional pages 36-40</w:t>
      </w:r>
      <w:r>
        <w:br/>
      </w:r>
    </w:p>
    <w:p>
      <w:pPr>
        <w:pStyle w:val="Compact"/>
        <w:numPr>
          <w:ilvl w:val="0"/>
          <w:numId w:val="1005"/>
        </w:numPr>
      </w:pPr>
      <w:r>
        <w:t xml:space="preserve">lee2008structureofescherichia pages 1-2</w:t>
      </w:r>
      <w:r>
        <w:br/>
      </w:r>
    </w:p>
    <w:p>
      <w:pPr>
        <w:pStyle w:val="Compact"/>
        <w:numPr>
          <w:ilvl w:val="0"/>
          <w:numId w:val="1005"/>
        </w:numPr>
      </w:pPr>
      <w:r>
        <w:t xml:space="preserve">lee2008structureofescherichia pages 2-3</w:t>
      </w:r>
      <w:r>
        <w:br/>
      </w:r>
    </w:p>
    <w:p>
      <w:pPr>
        <w:pStyle w:val="Compact"/>
        <w:numPr>
          <w:ilvl w:val="0"/>
          <w:numId w:val="1005"/>
        </w:numPr>
      </w:pPr>
      <w:r>
        <w:t xml:space="preserve">lee2008structureofescherichia pages 3-5</w:t>
      </w:r>
      <w:r>
        <w:br/>
      </w:r>
    </w:p>
    <w:p>
      <w:pPr>
        <w:pStyle w:val="Compact"/>
        <w:numPr>
          <w:ilvl w:val="0"/>
          <w:numId w:val="1005"/>
        </w:numPr>
      </w:pPr>
      <w:r>
        <w:t xml:space="preserve">lee2008structureofescherichia pages 8-9</w:t>
      </w:r>
    </w:p>
    <w:p>
      <w:pPr>
        <w:pStyle w:val="FirstParagraph"/>
      </w:pPr>
      <w:r>
        <w:t xml:space="preserve">References</w:t>
      </w:r>
    </w:p>
    <w:p>
      <w:pPr>
        <w:numPr>
          <w:ilvl w:val="0"/>
          <w:numId w:val="1006"/>
        </w:numPr>
      </w:pPr>
      <w:r>
        <w:t xml:space="preserve">(bagheriyarmand2001etkbmxtyrosinekinase pages 1-1): Rozita Bagheri-Yarmand, Mahitosh Mandal, Amjad H. Taludker, Rui-An Wang, Ratna K. Vadlamudi, Hsing-Jien Kung, and Rakesh Kumar. Etk/bmx tyrosine kinase activates pak1 and regulates tumorigenicity of breast cancer cells*. The Journal of Biological Chemistry, 276:29403-29409, Aug 2001. URL: https://doi.org/10.1074/jbc.m103129200, doi:10.1074/jbc.m103129200. This article has 172 citations.</w:t>
      </w:r>
    </w:p>
    <w:p>
      <w:pPr>
        <w:numPr>
          <w:ilvl w:val="0"/>
          <w:numId w:val="1006"/>
        </w:numPr>
      </w:pPr>
      <w:r>
        <w:t xml:space="preserve">(bagheriyarmand2001etkbmxtyrosinekinase pages 3-4): Rozita Bagheri-Yarmand, Mahitosh Mandal, Amjad H. Taludker, Rui-An Wang, Ratna K. Vadlamudi, Hsing-Jien Kung, and Rakesh Kumar. Etk/bmx tyrosine kinase activates pak1 and regulates tumorigenicity of breast cancer cells*. The Journal of Biological Chemistry, 276:29403-29409, Aug 2001. URL: https://doi.org/10.1074/jbc.m103129200, doi:10.1074/jbc.m103129200. This article has 172 citations.</w:t>
      </w:r>
    </w:p>
    <w:p>
      <w:pPr>
        <w:numPr>
          <w:ilvl w:val="0"/>
          <w:numId w:val="1006"/>
        </w:numPr>
      </w:pPr>
      <w:r>
        <w:t xml:space="preserve">(cenni2012bmxandits pages 6-7): Bruno Cenni, Sascha Gutmann, and Marie Gottar-Guillier. Bmx and its role in inflammation, cardiovascular disease, and cancer. International Reviews of Immunology, 31:166-173, Mar 2012. URL: https://doi.org/10.3109/08830185.2012.663838, doi:10.3109/08830185.2012.663838. This article has 57 citations and is from a peer-reviewed journal.</w:t>
      </w:r>
    </w:p>
    <w:p>
      <w:pPr>
        <w:numPr>
          <w:ilvl w:val="0"/>
          <w:numId w:val="1006"/>
        </w:numPr>
      </w:pPr>
      <w:r>
        <w:t xml:space="preserve">(chen2001regulationofthe pages 2-2): Riyan Chen, Oekyung Kim, Ming Li, Xinsheng Xiong, Jun-Lin Guan, Hsing-Jien Kung, Hegang Chen, Yoji Shimizu, and Yun Qiu. Regulation of the ph-domain-containing tyrosine kinase etk by focal adhesion kinase through the ferm domain. Nature Cell Biology, 3:439-444, May 2001. URL: https://doi.org/10.1038/35074500, doi:10.1038/35074500. This article has 203 citations and is from a highest quality peer-reviewed journal.</w:t>
      </w:r>
    </w:p>
    <w:p>
      <w:pPr>
        <w:numPr>
          <w:ilvl w:val="0"/>
          <w:numId w:val="1006"/>
        </w:numPr>
      </w:pPr>
      <w:r>
        <w:t xml:space="preserve">(corwin2016decipheringhumancytoplasmic pages 13-16): T Corwin. Deciphering human cytoplasmic protein tyrosine kinase phosphorylation specificity in yeast. Unknown journal, 2016.</w:t>
      </w:r>
    </w:p>
    <w:p>
      <w:pPr>
        <w:numPr>
          <w:ilvl w:val="0"/>
          <w:numId w:val="1006"/>
        </w:numPr>
      </w:pPr>
      <w:r>
        <w:t xml:space="preserve">(ilan1999proteintyrosinekinases pages 1-2):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6"/>
        </w:numPr>
      </w:pPr>
      <w:r>
        <w:t xml:space="preserve">(ilan1999proteintyrosinekinases pages 6-7):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6"/>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6"/>
        </w:numPr>
      </w:pPr>
      <w:r>
        <w:t xml:space="preserve">(lee2008structuralandfunctional pages 100-109): DCE Lee. Structural and functional studies of bacterial protein tyrosine kinases. Unknown journal, 2008.</w:t>
      </w:r>
    </w:p>
    <w:p>
      <w:pPr>
        <w:numPr>
          <w:ilvl w:val="0"/>
          <w:numId w:val="1006"/>
        </w:numPr>
      </w:pPr>
      <w:r>
        <w:t xml:space="preserve">(lee2008structuralandfunctional pages 15-20): DCE Lee. Structural and functional studies of bacterial protein tyrosine kinases. Unknown journal, 2008.</w:t>
      </w:r>
    </w:p>
    <w:p>
      <w:pPr>
        <w:numPr>
          <w:ilvl w:val="0"/>
          <w:numId w:val="1006"/>
        </w:numPr>
      </w:pPr>
      <w:r>
        <w:t xml:space="preserve">(lee2008structuralandfunctional pages 25-30): DCE Lee. Structural and functional studies of bacterial protein tyrosine kinases. Unknown journal, 2008.</w:t>
      </w:r>
    </w:p>
    <w:p>
      <w:pPr>
        <w:numPr>
          <w:ilvl w:val="0"/>
          <w:numId w:val="1006"/>
        </w:numPr>
      </w:pPr>
      <w:r>
        <w:t xml:space="preserve">(lee2008structuralandfunctional pages 47-52): DCE Lee. Structural and functional studies of bacterial protein tyrosine kinases. Unknown journal, 2008.</w:t>
      </w:r>
    </w:p>
    <w:p>
      <w:pPr>
        <w:numPr>
          <w:ilvl w:val="0"/>
          <w:numId w:val="1006"/>
        </w:numPr>
      </w:pPr>
      <w:r>
        <w:t xml:space="preserve">(lee2008structuralandfunctional pages 94-100): DCE Lee. Structural and functional studies of bacterial protein tyrosine kinases. Unknown journal, 2008.</w:t>
      </w:r>
    </w:p>
    <w:p>
      <w:pPr>
        <w:numPr>
          <w:ilvl w:val="0"/>
          <w:numId w:val="1006"/>
        </w:numPr>
      </w:pPr>
      <w:r>
        <w:t xml:space="preserve">(lee2008structureofescherichia pages 1-2):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6"/>
        </w:numPr>
      </w:pPr>
      <w:r>
        <w:t xml:space="preserve">(lee2008structureofescherichia pages 2-3):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6"/>
        </w:numPr>
      </w:pPr>
      <w:r>
        <w:t xml:space="preserve">(lee2008structureofescherichia pages 3-5):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6"/>
        </w:numPr>
      </w:pPr>
      <w:r>
        <w:t xml:space="preserve">(lee2008structureofescherichia pages 8-9):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6"/>
        </w:numPr>
      </w:pPr>
      <w:r>
        <w:t xml:space="preserve">(mano1999tecfamilyof pages 1-2): Hiroyuki Mano. Tec family of protein-tyrosine kinases: an overview of their structure and function. Cytokine &amp; Growth Factor Reviews, 10:267-280, Sep 1999. URL: https://doi.org/10.1016/s1359-6101(99)00019-2, doi:10.1016/s1359-6101(99)00019-2. This article has 196 citations.</w:t>
      </w:r>
    </w:p>
    <w:p>
      <w:pPr>
        <w:numPr>
          <w:ilvl w:val="0"/>
          <w:numId w:val="1006"/>
        </w:numPr>
      </w:pPr>
      <w:r>
        <w:t xml:space="preserve">(ortutay2008phylogenyoftec pages 1-4):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38 citations and is from a peer-reviewed journal.</w:t>
      </w:r>
    </w:p>
    <w:p>
      <w:pPr>
        <w:numPr>
          <w:ilvl w:val="0"/>
          <w:numId w:val="1006"/>
        </w:numPr>
      </w:pPr>
      <w:r>
        <w:t xml:space="preserve">(qiu1998etkbmxatyrosine pages 1-2): Yun Qiu, Dan Robinson, Tom G. Pretlow, and Hsing-Jien Kung. Etk/bmx, a tyrosine kinase with a pleckstrin-homology domain, is an effector of phosphatidylinositol 3′-kinase and is involved in interleukin 6-induced neuroendocrine differentiation of prostate cancer cells. Proceedings of the National Academy of Sciences, 95:3644-3649, Mar 1998. URL: https://doi.org/10.1073/pnas.95.7.3644, doi:10.1073/pnas.95.7.3644. This article has 317 citations.</w:t>
      </w:r>
    </w:p>
    <w:p>
      <w:pPr>
        <w:numPr>
          <w:ilvl w:val="0"/>
          <w:numId w:val="1006"/>
        </w:numPr>
      </w:pPr>
      <w:r>
        <w:t xml:space="preserve">(qiu1998etkbmxatyrosine pages 3-4): Yun Qiu, Dan Robinson, Tom G. Pretlow, and Hsing-Jien Kung. Etk/bmx, a tyrosine kinase with a pleckstrin-homology domain, is an effector of phosphatidylinositol 3′-kinase and is involved in interleukin 6-induced neuroendocrine differentiation of prostate cancer cells. Proceedings of the National Academy of Sciences, 95:3644-3649, Mar 1998. URL: https://doi.org/10.1073/pnas.95.7.3644, doi:10.1073/pnas.95.7.3644. This article has 317 citations.</w:t>
      </w:r>
    </w:p>
    <w:p>
      <w:pPr>
        <w:numPr>
          <w:ilvl w:val="0"/>
          <w:numId w:val="1006"/>
        </w:numPr>
      </w:pPr>
      <w:r>
        <w:t xml:space="preserve">(tsai2000etkabtk pages 1-2): Yuh-Tyng Tsai, Yi-Hsien Su, Shih-Shuan Fang, Tzye-Nan Huang, Yun Qiu, Yuh-Shan Jou, Hsiu-ming Shih, Hsing-Jien Kung, and Ruey-Hwa Chen. Etk, a btk family tyrosine kinase, mediates cellular transformation by linking src to stat3 activation. Molecular and Cellular Biology, 20:2043-2054, Mar 2000. URL: https://doi.org/10.1128/mcb.20.6.2043-2054.2000, doi:10.1128/mcb.20.6.2043-2054.2000. This article has 166 citations and is from a domain leading peer-reviewed journal.</w:t>
      </w:r>
    </w:p>
    <w:p>
      <w:pPr>
        <w:numPr>
          <w:ilvl w:val="0"/>
          <w:numId w:val="1006"/>
        </w:numPr>
      </w:pPr>
      <w:r>
        <w:t xml:space="preserve">(wen1999kinaseactivationof pages 6-7): Xin Wen, H. Helen Lin, Hsiu-Ming Shih, Hsing-Jien Kung, and David K. Ann. Kinase activation of the non-receptor tyrosine kinase etk/bmx alone is sufficient to transactivate stat-mediated gene expression in salivary and lung epithelial cells*. The Journal of Biological Chemistry, 274:38204-38210, Dec 1999. URL: https://doi.org/10.1074/jbc.274.53.38204, doi:10.1074/jbc.274.53.38204. This article has 83 citations.</w:t>
      </w:r>
    </w:p>
    <w:p>
      <w:pPr>
        <w:numPr>
          <w:ilvl w:val="0"/>
          <w:numId w:val="1006"/>
        </w:numPr>
      </w:pPr>
      <w:r>
        <w:t xml:space="preserve">(wu2001proteolyticactivationof pages 1-1): Yi-Mi Wu, Chia-Lin Huang, Hsing-Jien Kung, and Chi-Ying F. Huang. Proteolytic activation of etk/bmx tyrosine kinase by caspases. The Journal of Biological Chemistry, 276:17672-17678, May 2001. URL: https://doi.org/10.1074/jbc.m010964200, doi:10.1074/jbc.m010964200. This article has 41 citations.</w:t>
      </w:r>
    </w:p>
    <w:p>
      <w:pPr>
        <w:numPr>
          <w:ilvl w:val="0"/>
          <w:numId w:val="1006"/>
        </w:numPr>
      </w:pPr>
      <w:r>
        <w:t xml:space="preserve">(yaronbarir2024theintrinsicsubstrate pages 7-8):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6"/>
        </w:numPr>
      </w:pPr>
      <w:r>
        <w:t xml:space="preserve">(bagheriyarmand2001etkbmxtyrosinekinase pages 5-6): Rozita Bagheri-Yarmand, Mahitosh Mandal, Amjad H. Taludker, Rui-An Wang, Ratna K. Vadlamudi, Hsing-Jien Kung, and Rakesh Kumar. Etk/bmx tyrosine kinase activates pak1 and regulates tumorigenicity of breast cancer cells*. The Journal of Biological Chemistry, 276:29403-29409, Aug 2001. URL: https://doi.org/10.1074/jbc.m103129200, doi:10.1074/jbc.m103129200. This article has 172 citations.</w:t>
      </w:r>
    </w:p>
    <w:p>
      <w:pPr>
        <w:numPr>
          <w:ilvl w:val="0"/>
          <w:numId w:val="1006"/>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6"/>
        </w:numPr>
      </w:pPr>
      <w:r>
        <w:t xml:space="preserve">(chen2013tyrosinekinasebmx pages 13-14): Sen Chen, Xinnong Jiang, Christina A. Gewinner, John M. Asara, Nicholas I. Simon, Changmeng Cai, Lewis C. Cantley, and Steven P. Balk. Tyrosine kinase bmx phosphorylates phosphotyrosine-primed motif mediating the activation of multiple receptor tyrosine kinases. Science Signaling, 6:ra40-ra40, May 2013. URL: https://doi.org/10.1126/scisignal.2003936, doi:10.1126/scisignal.2003936. This article has 28 citations and is from a domain leading peer-reviewed journal.</w:t>
      </w:r>
    </w:p>
    <w:p>
      <w:pPr>
        <w:numPr>
          <w:ilvl w:val="0"/>
          <w:numId w:val="1006"/>
        </w:numPr>
      </w:pPr>
      <w:r>
        <w:t xml:space="preserve">(ekman2003thebmxtyrosine pages 12-16): N Ekman. The bmx tyrosine kinase: a signal mediator in hematopoietic and endothelial/epithelial cells. Unknown journal, 2003.</w:t>
      </w:r>
    </w:p>
    <w:p>
      <w:pPr>
        <w:numPr>
          <w:ilvl w:val="0"/>
          <w:numId w:val="1006"/>
        </w:numPr>
      </w:pPr>
      <w:r>
        <w:t xml:space="preserve">(ilan1999proteintyrosinekinases pages 4-5):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6"/>
        </w:numPr>
      </w:pPr>
      <w:r>
        <w:t xml:space="preserve">(krupa2002therepertoireof pages 2-3):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6"/>
        </w:numPr>
      </w:pPr>
      <w:r>
        <w:t xml:space="preserve">(krupa2002therepertoireof pages 7-7):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6"/>
        </w:numPr>
      </w:pPr>
      <w:r>
        <w:t xml:space="preserve">(lee2008structuralandfunctional pages 123-131): DCE Lee. Structural and functional studies of bacterial protein tyrosine kinases. Unknown journal, 2008.</w:t>
      </w:r>
    </w:p>
    <w:p>
      <w:pPr>
        <w:numPr>
          <w:ilvl w:val="0"/>
          <w:numId w:val="1006"/>
        </w:numPr>
      </w:pPr>
      <w:r>
        <w:t xml:space="preserve">(lee2008structuralandfunctional pages 36-40): DCE Lee. Structural and functional studies of bacterial protein tyrosine kinases. Unknown journal, 2008.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