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Mitogen‐activated protein kinase 14 (MAPK14), also known as p38α, belongs to the p38 MAPK subgroup within the broader MAP kinase family that is part of the conserved CMGC group of serine/threonine kinases. The p38 family comprises four isoforms: p38α (MAPK14), p38β (MAPK11), p38γ (MAPK12), and p38δ (MAPK13). Among these, MAPK14 is the most abundantly expressed and is evolutionarily conserved across vertebrates and many other eukaryotic species. Phylogenetic studies indicate that MAPK14’s presence in diverse organisms reflects its fundamental role in mediating cellular responses to external stresses, including pro-inflammatory cytokines and physical challenges (canovas2021diversityandversatility pages 1-3). Notably, analyses based on sequence conservation and domain architecture reveal that early gene duplication events gave rise to the distinct p38 isoforms, and these events likely trace back close to the Last Eukaryotic Common Ancestor (LECA). This deep evolutionary origin attests to the indispensability of MAPK14 as a nodal component of signal transduction networks that regulate stress, inflammation, and developmental processes (coppe2019mappingphosphocatalyticdependencies pages 17-19, han2020anoverviewof pages 1-3).</w:t>
      </w:r>
    </w:p>
    <w:bookmarkEnd w:id="9"/>
    <w:bookmarkStart w:id="10" w:name="reaction-catalyzed"/>
    <w:p>
      <w:pPr>
        <w:pStyle w:val="Heading2"/>
      </w:pPr>
      <w:r>
        <w:t xml:space="preserve">2. Reaction Catalyzed</w:t>
      </w:r>
    </w:p>
    <w:p>
      <w:pPr>
        <w:pStyle w:val="FirstParagraph"/>
      </w:pPr>
      <w:r>
        <w:t xml:space="preserve">MAPK14 functions as a serine/threonine kinase by catalyzing the transfer of a phosphate group from adenosine triphosphate (ATP) to the hydroxyl group on serine or threonine residues within protein substrates. The overall reaction can be succinctly represented as:</w:t>
      </w:r>
      <w:r>
        <w:br/>
      </w:r>
      <w:r>
        <w:t xml:space="preserve">  ATP + protein-(L-serine/threonine) → ADP + protein-(L-serine/threonine)-phosphate + H⁺.</w:t>
      </w:r>
      <w:r>
        <w:br/>
      </w:r>
      <w:r>
        <w:t xml:space="preserve">This phosphorylation event is a critical post-translational modification that alters the conformation, stability, and interaction properties of substrates, thereby modulating signaling cascades activated in response to extracellular stimuli. MAPK14 is estimated to phosphorylate between 200 and 300 substrates, reflecting its extensive role in cellular regulation (du2020revealingtheunbinding pages 13-13). Its targets include not only various transcription factors and chromatin modulators, but also a series of downstream kinases. For instance, MAPK14 phosphorylates kinases such as RPS6KA5 (MSK1) and RPS6KA4 (MSK2), which then further phosphorylate transcription factors like CREB1 and ATF1 as well as NF-κB subunits (RELA/NFKB3), STAT1, and STAT3. These phosphorylation cascades culminate in rapid gene expression changes that are essential for the immediate-early response to stress signals (fiore2016targetingmitogenactivatedprotein pages 10-12). Additionally, MAPK14 activates kinases like MAPKAPK2 (MK2) and MAPKAPK3 (MK3), which regulate mRNA stability and translation by phosphorylating RNA-binding proteins such as ZFP36 and ELAVL1. Activation of MKNK1 and MKNK2 by MAPK14 further links its activity to the control of protein synthesis via phosphorylation of the initiation factor EIF4E2. Collectively, these sequential phosphorylation events integrate extracellular stimuli into coordinated responses at the levels of transcription, translation, and protein turnover (fiore2016targetingmitogenactivatedprotein pages 51-54, fiore2016targetingmitogenactivatedprotein pages 7-10).</w:t>
      </w:r>
    </w:p>
    <w:bookmarkEnd w:id="10"/>
    <w:bookmarkStart w:id="11" w:name="cofactor-requirements"/>
    <w:p>
      <w:pPr>
        <w:pStyle w:val="Heading2"/>
      </w:pPr>
      <w:r>
        <w:t xml:space="preserve">3. Cofactor Requirements</w:t>
      </w:r>
    </w:p>
    <w:p>
      <w:pPr>
        <w:pStyle w:val="FirstParagraph"/>
      </w:pPr>
      <w:r>
        <w:t xml:space="preserve">The enzymatic activity of MAPK14 critically depends on the binding of ATP in conjunction with divalent metal ions. Magnesium (Mg²⁺) is the primary metal ion cofactor that coordinates ATP binding, stabilizing its phosphate groups within the active site of the kinase. In the catalytic reaction, Mg²⁺ neutralizes the coulombic repulsion between the phosphate groups of ATP and aids in the proper alignment required for the nucleophilic attack by the hydroxyl oxygen on the target serine or threonine residue. Although under certain experimental conditions manganese (Mn²⁺) can substitute for magnesium, the physiologically relevant cofactor is predominantly Mg²⁺ (liu2021leveragingdiversedata pages 56-60, fiore2016targetingmitogenactivatedprotein pages 7-10). No additional small-molecule cofactors are required for the catalytic transfer of the phosphate group; however, the kinase’s activity may be modulated by interactions with regulatory proteins such as casein kinase II, which can enhance its autophosphorylation and subsequent catalytic efficiency.</w:t>
      </w:r>
    </w:p>
    <w:bookmarkEnd w:id="11"/>
    <w:bookmarkStart w:id="12" w:name="substrate-specificity"/>
    <w:p>
      <w:pPr>
        <w:pStyle w:val="Heading2"/>
      </w:pPr>
      <w:r>
        <w:t xml:space="preserve">4. Substrate Specificity</w:t>
      </w:r>
    </w:p>
    <w:p>
      <w:pPr>
        <w:pStyle w:val="FirstParagraph"/>
      </w:pPr>
      <w:r>
        <w:t xml:space="preserve">MAPK14 is renowned for its remarkably broad substrate specificity, a feature that underlies its pivotal role in orchestrating cellular responses to stress and inflammation. It phosphorylates an extensive array of substrates—estimates suggest as many as 200 to 300 protein targets (du2020revealingtheunbinding pages 13-13, fiore2016targetingmitogenactivatedprotein pages 10-12). Among the physiologically critical targets are the downstream kinases RPS6KA5 (MSK1) and RPS6KA4 (MSK2), which, upon activation by MAPK14-mediated phosphorylation, subsequently modify transcription factors such as CREB1, ATF1, and members of the NF-κB complex (RELA/NFKB3), as well as STAT family proteins—which are essential for the transcriptional activation of stress-inducible genes. In addition to these kinases, MAPK14 phosphorylates MAPKAPK2 (MK2) and MAPKAPK3 (MK3), which influence post-transcriptional regulatory mechanisms through phosphorylation of RNA-binding proteins like ZFP36 and ELAVL1, thereby modulating mRNA stability and translation elongation processes mediated by effectors like EEF2K (fiore2016targetingmitogenactivatedprotein pages 54-57, liu2021leveragingdiversedata pages 36-41).</w:t>
      </w:r>
    </w:p>
    <w:p>
      <w:pPr>
        <w:pStyle w:val="BodyText"/>
      </w:pPr>
      <w:r>
        <w:t xml:space="preserve">Furthermore, MAPK14 activates MKNK1 and MKNK2, which are involved in the regulation of protein synthesis by phosphorylating the translation initiation factor EIF4E2. In the context of cell cycle control, MAPK14 phosphorylates proteins such as CDC25B and CDC25C, thereby initiating a G2 phase delay in response to DNA damage induced by ultraviolet radiation. Phosphorylation of the RNA-binding protein TIAR is another critical event, as it prevents mRNA degradation following genotoxic stress. Although a strict consensus phosphorylation motif for MAPK14 is challenging to define due to its diverse substrate pool, it is generally classified as a proline-directed kinase; substrates often exhibit serine/threonine residues immediately followed by a proline, a hallmark feature common among MAP kinases (fiore2016targetingmitogenactivatedprotein pages 54-57, liu2021leveragingdiversedata pages 36-41, jha2025deeplearningcoupledproximity pages 1-4).</w:t>
      </w:r>
    </w:p>
    <w:bookmarkEnd w:id="12"/>
    <w:bookmarkStart w:id="13" w:name="structure"/>
    <w:p>
      <w:pPr>
        <w:pStyle w:val="Heading2"/>
      </w:pPr>
      <w:r>
        <w:t xml:space="preserve">5. Structure</w:t>
      </w:r>
    </w:p>
    <w:p>
      <w:pPr>
        <w:pStyle w:val="FirstParagraph"/>
      </w:pPr>
      <w:r>
        <w:t xml:space="preserve">MAPK14 displays a canonical MAP kinase fold that is typical of the enzyme family. The protein consists of a central kinase domain organized into two main lobes. The smaller N-terminal lobe is predominantly composed of β-sheets and contains a conserved glycine-rich loop (G-loop) that is crucial for ATP binding. The larger C-terminal lobe is largely α-helical and provides the structural framework for substrate binding and catalysis. The active site lies within a deep cleft between these two lobes, accommodating ATP along with parts of the substrate peptide (han2020anoverviewof pages 1-3, juyoux2023architectureofthe pages 12-15).</w:t>
      </w:r>
    </w:p>
    <w:p>
      <w:pPr>
        <w:pStyle w:val="BodyText"/>
      </w:pPr>
      <w:r>
        <w:t xml:space="preserve">A key structural feature of MAPK14 is its activation loop, which houses the conserved Thr-Gly-Tyr (TGY) motif comprising Thr180 and Tyr182. Dual phosphorylation of these residues is essential for the transition of MAPK14 from an inactive to an active conformation. In the unphosphorylated state, the activation loop can obstruct the substrate-binding pocket; however, phosphorylation induces a conformational change that not only exposes the active site for substrate interaction but also stabilizes key catalytic residues. Adjacent to the activation loop is the DFG (Asp-Phe-Gly) motif, a structural element critical for coordinating Mg²⁺ ions that, in turn, aid in positioning ATP appropriately for the phosphoryl transfer reaction. Additionally, the P+1 pocket, which is immediately adjacent to the catalytic site, plays an important role in substrate recognition by preferentially accommodating the proline residue situated immediately C-terminal to the phosphorylation site on substrates (liu2021leveragingdiversedata pages 46-52, lin2023snapkinasnapshot pages 3-5).</w:t>
      </w:r>
    </w:p>
    <w:p>
      <w:pPr>
        <w:pStyle w:val="BodyText"/>
      </w:pPr>
      <w:r>
        <w:t xml:space="preserve">Recent cryo-electron microscopy and molecular dynamics simulation studies have provided further insights into the dynamic “face-to-face” interaction between MAPK14 and its upstream activator MKK6. These studies reveal that the transient docking of MAPK14 by MKK6 places the activation loop in an optimal position for phosphorylation and that peripheral regions outside the core kinase domain contribute to fine-tuning substrate specificity and regulatory interactions (juyoux2023architectureofthe pages 12-15, jha2025deeplearningcoupledproximity pages 22-24). Furthermore, high-resolution structural data obtained from crystallographic studies and supported by computational models confirm the presence of multiple nucleotide- and substrate-contacting regions that collectively ensure efficient catalytic turnover.</w:t>
      </w:r>
    </w:p>
    <w:bookmarkEnd w:id="13"/>
    <w:bookmarkStart w:id="14" w:name="regulation"/>
    <w:p>
      <w:pPr>
        <w:pStyle w:val="Heading2"/>
      </w:pPr>
      <w:r>
        <w:t xml:space="preserve">6. Regulation</w:t>
      </w:r>
    </w:p>
    <w:p>
      <w:pPr>
        <w:pStyle w:val="FirstParagraph"/>
      </w:pPr>
      <w:r>
        <w:t xml:space="preserve">MAPK14 is under tight control by a multilayered regulatory network enabling it to function as a sensitive sensor of extracellular stress. The primary mode of activation involves dual phosphorylation of the activation loop on Thr180 and Tyr182 by upstream MAP kinase kinases (MKK3 and MKK6). This dual phosphorylation is indispensable as it triggers a profound conformational shift from an inactive state to an active state, thus enabling MAPK14 to engage its broad spectrum of substrates (han2020anoverviewof pages 1-3, fiore2016targetingmitogenactivatedprotein pages 7-10).</w:t>
      </w:r>
    </w:p>
    <w:p>
      <w:pPr>
        <w:pStyle w:val="BodyText"/>
      </w:pPr>
      <w:r>
        <w:t xml:space="preserve">In addition to phosphorylation by MKKs, MAPK14 can undergo autophosphorylation that is facilitated by interactions with other regulatory proteins. Notably, casein kinase II interacts with MAPK14 to promote autophosphorylation events, effectively stabilizing the active conformation of the kinase and enhancing its catalytic output. This layer of control is critical for rapidly amplifying cellular responses once an external stimulus is detected (fiore2016targetingmitogenactivatedprotein pages 10-12, juyoux2023architectureofthe pages 15-17).</w:t>
      </w:r>
    </w:p>
    <w:p>
      <w:pPr>
        <w:pStyle w:val="BodyText"/>
      </w:pPr>
      <w:r>
        <w:t xml:space="preserve">MAPK14 is further regulated by kinase-independent mechanisms. Under conditions such as glucose deprivation, MAPK14 interacts with O-GlcNAc transferase (OGT); although OGT is not directly phosphorylated by MAPK14, the increased interaction promotes O-Glc-N-acylation of specific protein targets like neurofilament H. This linkage between phosphorylation and glycosylation represents a sophisticated means by which cells coordinate metabolic status with signal transduction pathways (jha2025deeplearningcoupledproximity pages 24-26, liu2021leveragingdiversedata pages 56-60).</w:t>
      </w:r>
    </w:p>
    <w:p>
      <w:pPr>
        <w:pStyle w:val="BodyText"/>
      </w:pPr>
      <w:r>
        <w:t xml:space="preserve">Additionally, MAPK14 influences cell cycle control; for example, it phosphorylates CDC25B and CDC25C, which leads to the association of these phosphatases with 14-3-3 proteins, thereby inducing a cell cycle G2 delay in response to DNA damage typically caused by ultraviolet irradiation. This checkpoint regulation ensures that cells have adequate time to repair damaged DNA before proceeding with cell division. Similarly, phosphorylation of TIAR by MAPK14 stabilizes stress-responsive mRNAs such as GADD45A after DNA damage, contributing to the maintenance of proper mRNA levels during cellular stress (fiore2016targetingmitogenactivatedprotein pages 7-10, liu2021leveragingdiversedata pages 56-60).</w:t>
      </w:r>
    </w:p>
    <w:p>
      <w:pPr>
        <w:pStyle w:val="BodyText"/>
      </w:pPr>
      <w:r>
        <w:t xml:space="preserve">Overall, the regulation of MAPK14 is achieved through an intricate interplay of phosphorylation events, protein–protein interactions, and cross-talk with alternative post-translational modification systems, thereby ensuring that its activity is precisely modulated in accordance with the cellular context and environmental stimuli.</w:t>
      </w:r>
    </w:p>
    <w:bookmarkEnd w:id="14"/>
    <w:bookmarkStart w:id="15" w:name="function"/>
    <w:p>
      <w:pPr>
        <w:pStyle w:val="Heading2"/>
      </w:pPr>
      <w:r>
        <w:t xml:space="preserve">7. Function</w:t>
      </w:r>
    </w:p>
    <w:p>
      <w:pPr>
        <w:pStyle w:val="FirstParagraph"/>
      </w:pPr>
      <w:r>
        <w:t xml:space="preserve">MAPK14 plays a central role as an integrator of stress signals, coordinating cellular responses through the modulation of multiple downstream processes. At its core, MAPK14 is activated by external agents such as pro-inflammatory cytokines and physical stress, thereby triggering a cascade of phosphorylation events that extend from cytoplasmic processes to nuclear gene regulation.</w:t>
      </w:r>
    </w:p>
    <w:p>
      <w:pPr>
        <w:pStyle w:val="BodyText"/>
      </w:pPr>
      <w:r>
        <w:t xml:space="preserve">In the cytoplasm, MAPK14 directly phosphorylates regulators involved in protein turnover and apoptosis. For example, it modifies CFLAR, an inhibitor of TNF-induced apoptosis, and phosphorylates the ubiquitin ligase SIAH2 to regulate the degradation of proteins like EGLN3. Such events determine the balance between cell survival and programmed cell death under conditions of stress (fiore2016targetingmitogenactivatedprotein pages 10-12, du2020revealingtheunbinding pages 13-13).</w:t>
      </w:r>
    </w:p>
    <w:p>
      <w:pPr>
        <w:pStyle w:val="BodyText"/>
      </w:pPr>
      <w:r>
        <w:t xml:space="preserve">MAPK14 is also a key modulator of autophagy. By interfering with the intracellular trafficking of ATG9—a critical transmembrane protein required for the autophagosome formation—MAPK14 can inhibit lysosomal degradation pathways. This function is particularly important in scenarios where controlling the rate of autophagy may tip the balance toward cell survival or trigger cell death if stress signals become overwhelming.</w:t>
      </w:r>
    </w:p>
    <w:p>
      <w:pPr>
        <w:pStyle w:val="BodyText"/>
      </w:pPr>
      <w:r>
        <w:t xml:space="preserve">Nuclear functions of MAPK14 are equally critical. The kinase phosphorylates a diverse set of transcription factors, including ATF1, ATF2, ATF6, ELK1, and TP53/p53, thereby modulating gene expression profiles essential for mounting an appropriate stress response. For example, phosphorylation of histone H3 at serine 10 by MAPK14 enhances chromatin accessibility. This modification facilitates the recruitment of NF-κB to the promoters of key inflammatory genes such as IL6, IL8, and IL12B, which in turn drives an inflammatory gene expression program (juyoux2023architectureofthe pages 12-15, kotrasova2021mitochondrialkinasesand pages 19-21).</w:t>
      </w:r>
    </w:p>
    <w:p>
      <w:pPr>
        <w:pStyle w:val="BodyText"/>
      </w:pPr>
      <w:r>
        <w:t xml:space="preserve">Moreover, MAPK14 contributes to the regulation of receptor-mediated signaling. Through the phosphorylation of epidermal growth factor receptor (EGFR) itself and effectors associated with the small GTPase RAB5A, MAPK14 governs clathrin-mediated endocytosis. Furthermore, phosphorylation of the disintegrin/metalloprotease ADAM17 by MAPK14 regulates the ectodomain shedding of TGF-α ligands. This shedding is crucial for subsequent activation of EGFR signaling cascades that drive cell proliferation. In addition, MAPK14 is required for the nuclear translocation of fibroblast growth factor receptor 1 (FGFR1), which is involved in regulating ribosomal RNA synthesis and cell growth.</w:t>
      </w:r>
    </w:p>
    <w:p>
      <w:pPr>
        <w:pStyle w:val="BodyText"/>
      </w:pPr>
      <w:r>
        <w:t xml:space="preserve">On a developmental level, MAPK14 is indispensable for mid-fetal placental blood vessel formation. It also plays a key role in both developmental and stress-induced erythropoiesis by regulating the expression of the EPO gene. Isoform-specific differences add another layer to its functionality; for example, the MXI2 isoform is preferentially activated by mitogens and oxidative stress, though it exhibits limited phosphorylation of substrates such as ELK1 and ATF2, while the EXIP isoform has been associated with early apoptotic events. Additionally, MAPK14 phosphorylates S100A9 at threonine 113 and, through pathways involving MAP3K20/ZAK, activates the NLRP1 inflammasome under conditions such as UV-B irradiation and ribosome collisions, thereby promoting pyroptotic cell death (fiore2016targetingmitogenactivatedprotein pages 7-10, juyoux2023architectureofthe pages 12-15).</w:t>
      </w:r>
    </w:p>
    <w:p>
      <w:pPr>
        <w:pStyle w:val="BodyText"/>
      </w:pPr>
      <w:r>
        <w:t xml:space="preserve">In summary, MAPK14 functions as a critical hub that integrates a plethora of extracellular signals into coherent cellular responses, affecting gene expression, protein synthesis, receptor trafficking, cell cycle progression, autophagy, and apoptosis.</w:t>
      </w:r>
    </w:p>
    <w:bookmarkEnd w:id="15"/>
    <w:bookmarkStart w:id="16" w:name="other-comments"/>
    <w:p>
      <w:pPr>
        <w:pStyle w:val="Heading2"/>
      </w:pPr>
      <w:r>
        <w:t xml:space="preserve">8. Other Comments</w:t>
      </w:r>
    </w:p>
    <w:p>
      <w:pPr>
        <w:pStyle w:val="FirstParagraph"/>
      </w:pPr>
      <w:r>
        <w:t xml:space="preserve">Beyond its well-documented catalytic roles, MAPK14 is of particular interest as a therapeutic target in multiple disease contexts, including inflammatory disorders, neurodegeneration, and cancer. Numerous pharmacological inhibitors have been developed to target p38α in an effort to dampen aberrant inflammatory signaling. However, designing inhibitors that specifically target MAPK14 without affecting other p38 isoforms remains challenging due to the high degree of structural conservation among these kinases (machado2021thep38mapk pages 1-2).</w:t>
      </w:r>
    </w:p>
    <w:p>
      <w:pPr>
        <w:pStyle w:val="BodyText"/>
      </w:pPr>
      <w:r>
        <w:t xml:space="preserve">Importantly, MAPK14 is also emerging as a regulator in kinase-independent processes. Notably, under metabolic stress situations such as glucose deprivation, MAPK14 interacts with O-GlcNAc transferase (OGT) to enhance the O-Glc-N-acylation of substrates such as neurofilament H. This non-catalytic role adds to the complexity of MAPK14’s involvement in cellular homeostasis. Its myriad of alternative names—including Cytokine suppressive anti-inflammatory drug-binding protein, MAP kinase MXI2, MAX-interacting protein 2, and Stress-activated protein kinase 2a—reflects its discovery through diverse functional studies and historical literature, which has necessitated careful data curation and cross-referencing in clinical research (coppe2019mappingphosphocatalyticdependencies pages 17-19, han2020anoverviewof pages 1-3).</w:t>
      </w:r>
    </w:p>
    <w:p>
      <w:pPr>
        <w:pStyle w:val="BodyText"/>
      </w:pPr>
      <w:r>
        <w:t xml:space="preserve">Recent structural investigations employing cryo-electron microscopy and molecular dynamics simulations have also refined our understanding of the transient interactions between MAPK14 and its upstream activators, such as in the MKK6-p38α complex. These studies not only enhance our mechanistic grasp of kinase activation and substrate docking but also identify novel potential allosteric sites that could be exploited for the design of next-generation inhibitors. In light of the diverse roles of MAPK14—from controlling inflammatory gene expression to modulating apoptosis and autophagy—ongoing research continues to elucidate its regulatory networks and potential as a drug target in various pathological conditions (juyoux2023architectureofthe pages 17-24, lin2023snapkinasnapshot pages 3-5).</w:t>
      </w:r>
    </w:p>
    <w:bookmarkEnd w:id="16"/>
    <w:bookmarkStart w:id="17" w:name="references"/>
    <w:p>
      <w:pPr>
        <w:pStyle w:val="Heading2"/>
      </w:pPr>
      <w:r>
        <w:t xml:space="preserve">9. References</w:t>
      </w:r>
    </w:p>
    <w:p>
      <w:pPr>
        <w:pStyle w:val="FirstParagraph"/>
      </w:pPr>
      <w:r>
        <w:t xml:space="preserve">canovas2021diversityandversatility pages 1-3, coppe2019mappingphosphocatalyticdependencies pages 17-19, du2020revealingtheunbinding pages 13-13, fiore2016targetingmitogenactivatedprotein pages 10-12, fiore2016targetingmitogenactivatedprotein pages 51-54, fiore2016targetingmitogenactivatedprotein pages 54-57, fiore2016targetingmitogenactivatedprotein pages 7-10, han2020anoverviewof pages 1-3, jha2025deeplearningcoupledproximity pages 1-4, jha2025deeplearningcoupledproximity pages 22-24, jha2025deeplearningcoupledproximity pages 24-26, juyoux2023architectureofthe pages 12-15, klaeger2017thetargetlandscape pages 29-30, kotrasova2021mitochondrialkinasesand pages 19-21, lin2023snapkinasnapshot pages 3-5, liu2021leveragingdiversedata pages 36-41, liu2021leveragingdiversedata pages 46-52, liu2021leveragingdiversedata pages 56-60, liu2021leveragingdiversedata pages 69-74, liu2021leveragingdiversedata pages 74-78, machado2021thep38mapk pages 1-2, mobeen2020modelingtheposttranslational pages 9-11, mullerdott2025fromactivityinference pages 48-52, mullerdott2025fromactivityinferencea pages 48-52</w:t>
      </w:r>
    </w:p>
    <w:p>
      <w:pPr>
        <w:pStyle w:val="BodyText"/>
      </w:pPr>
      <w:r>
        <w:t xml:space="preserve">References</w:t>
      </w:r>
    </w:p>
    <w:p>
      <w:pPr>
        <w:numPr>
          <w:ilvl w:val="0"/>
          <w:numId w:val="1001"/>
        </w:numPr>
      </w:pPr>
      <w:r>
        <w:t xml:space="preserve">(canovas2021diversityandversatility pages 1-3): Begoña Canovas and Angel R. Nebreda. Diversity and versatility of p38 kinase signalling in health and disease. Nature Reviews Molecular Cell Biology, 22:346-366, Jan 2021. URL: https://doi.org/10.1038/s41580-020-00322-w, doi:10.1038/s41580-020-00322-w. This article has 498 citations and is from a domain leading peer-reviewed journal.</w:t>
      </w:r>
    </w:p>
    <w:p>
      <w:pPr>
        <w:numPr>
          <w:ilvl w:val="0"/>
          <w:numId w:val="1001"/>
        </w:numPr>
      </w:pPr>
      <w:r>
        <w:t xml:space="preserve">(coppe2019mappingphosphocatalyticdependencies pages 17-19): Jean-Philippe Coppé, Miki Mori, Bo Pan, Christina Yau, Denise M. Wolf, Ana Ruiz-Saenz, Diede Brunen, Anirudh Prahallad, Paulien Cornelissen-Steijger, Kristel Kemper, Christian Posch, Changjun Wang, Courtney A. Dreyer, Oscar Krijgsman, Pei Rong Evelyn Lee, Zhongzhong Chen, Daniel S. Peeper, Mark M. Moasser, René Bernards, and Laura J. van ‘t Veer. Mapping phospho-catalytic dependencies of therapy-resistant tumours reveals actionable vulnerabilities. Nature Cell Biology, 21:778-790, Jun 2019. URL: https://doi.org/10.1038/s41556-019-0328-z, doi:10.1038/s41556-019-0328-z. This article has 38 citations and is from a highest quality peer-reviewed journal.</w:t>
      </w:r>
    </w:p>
    <w:p>
      <w:pPr>
        <w:numPr>
          <w:ilvl w:val="0"/>
          <w:numId w:val="1001"/>
        </w:numPr>
      </w:pPr>
      <w:r>
        <w:t xml:space="preserve">(du2020revealingtheunbinding pages 13-13): Yu Du and Renxiao Wang. Revealing the unbinding kinetics and mechanism of type i and type ii protein kinase inhibitors by local-scaled molecular dynamics simulations. Journal of Chemical Theory and Computation, 16:6620-6632, Aug 2020. URL: https://doi.org/10.1021/acs.jctc.0c00342, doi:10.1021/acs.jctc.0c00342. This article has 12 citations and is from a domain leading peer-reviewed journal.</w:t>
      </w:r>
    </w:p>
    <w:p>
      <w:pPr>
        <w:numPr>
          <w:ilvl w:val="0"/>
          <w:numId w:val="1001"/>
        </w:numPr>
      </w:pPr>
      <w:r>
        <w:t xml:space="preserve">(fiore2016targetingmitogenactivatedprotein pages 10-12):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85 citations and is from a highest quality peer-reviewed journal.</w:t>
      </w:r>
    </w:p>
    <w:p>
      <w:pPr>
        <w:numPr>
          <w:ilvl w:val="0"/>
          <w:numId w:val="1001"/>
        </w:numPr>
      </w:pPr>
      <w:r>
        <w:t xml:space="preserve">(fiore2016targetingmitogenactivatedprotein pages 51-54):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85 citations and is from a highest quality peer-reviewed journal.</w:t>
      </w:r>
    </w:p>
    <w:p>
      <w:pPr>
        <w:numPr>
          <w:ilvl w:val="0"/>
          <w:numId w:val="1001"/>
        </w:numPr>
      </w:pPr>
      <w:r>
        <w:t xml:space="preserve">(fiore2016targetingmitogenactivatedprotein pages 54-57):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85 citations and is from a highest quality peer-reviewed journal.</w:t>
      </w:r>
    </w:p>
    <w:p>
      <w:pPr>
        <w:numPr>
          <w:ilvl w:val="0"/>
          <w:numId w:val="1001"/>
        </w:numPr>
      </w:pPr>
      <w:r>
        <w:t xml:space="preserve">(fiore2016targetingmitogenactivatedprotein pages 7-10): Mario Fiore, Stefano Forli, and Fabrizio Manetti. Targeting mitogen-activated protein kinase-activated protein kinase 2 (mapkapk2, mk2): medicinal chemistry efforts to lead small molecule inhibitors to clinical trials. Journal of medicinal chemistry, 59 8:3609-34, Apr 2016. URL: https://doi.org/10.1021/acs.jmedchem.5b01457, doi:10.1021/acs.jmedchem.5b01457. This article has 85 citations and is from a highest quality peer-reviewed journal.</w:t>
      </w:r>
    </w:p>
    <w:p>
      <w:pPr>
        <w:numPr>
          <w:ilvl w:val="0"/>
          <w:numId w:val="1001"/>
        </w:numPr>
      </w:pPr>
      <w:r>
        <w:t xml:space="preserve">(han2020anoverviewof pages 1-3): Jiahuai Han, Jianfeng Wu, and John Silke. An overview of mammalian p38 mitogen-activated protein kinases, central regulators of cell stress and receptor signaling. F1000Research, 9:653, Jun 2020. URL: https://doi.org/10.12688/f1000research.22092.1, doi:10.12688/f1000research.22092.1. This article has 137 citations and is from a peer-reviewed journal.</w:t>
      </w:r>
    </w:p>
    <w:p>
      <w:pPr>
        <w:numPr>
          <w:ilvl w:val="0"/>
          <w:numId w:val="1001"/>
        </w:numPr>
      </w:pPr>
      <w:r>
        <w:t xml:space="preserve">(jha2025deeplearningcoupledproximity pages 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(juyoux2023architectureofthe pages 12-15):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28 citations and is from a highest quality peer-reviewed journal.</w:t>
      </w:r>
    </w:p>
    <w:p>
      <w:pPr>
        <w:numPr>
          <w:ilvl w:val="0"/>
          <w:numId w:val="1001"/>
        </w:numPr>
      </w:pPr>
      <w:r>
        <w:t xml:space="preserve">(juyoux2023architectureofthe pages 15-17):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28 citations and is from a highest quality peer-reviewed journal.</w:t>
      </w:r>
    </w:p>
    <w:p>
      <w:pPr>
        <w:numPr>
          <w:ilvl w:val="0"/>
          <w:numId w:val="1001"/>
        </w:numPr>
      </w:pPr>
      <w:r>
        <w:t xml:space="preserve">(juyoux2023architectureofthe pages 17-24):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28 citations and is from a highest quality peer-reviewed journal.</w:t>
      </w:r>
    </w:p>
    <w:p>
      <w:pPr>
        <w:numPr>
          <w:ilvl w:val="0"/>
          <w:numId w:val="1001"/>
        </w:numPr>
      </w:pPr>
      <w:r>
        <w:t xml:space="preserve">(klaeger2017thetargetlandscape pages 29-30): Susan Klaeger, Stephanie Heinzlmeir, Mathias Wilhelm, Harald Polzer, Binje Vick, Paul-Albert Koenig, Maria Reinecke, Benjamin Ruprecht, Svenja Petzoldt, Chen Meng, Jana Zecha, Katrin Reiter, Huichao Qiao, Dominic Helm, Heiner Koch, Melanie Schoof, Giulia Canevari, Elena Casale, Stefania Re Depaolini, Annette Feuchtinger, Zhixiang Wu, Tobias Schmidt, Lars Rueckert, Wilhelm Becker, Jan Huenges, Anne-Kathrin Garz, Bjoern-Oliver Gohlke, Daniel Paul Zolg, Gian Kayser, Tonu Vooder, Robert Preissner, Hannes Hahne, Neeme Tõnisson, Karl Kramer, Katharina Götze, Florian Bassermann, Judith Schlegl, Hans-Christian Ehrlich, Stephan Aiche, Axel Walch, Philipp A. Greif, Sabine Schneider, Eduard Rudolf Felder, Juergen Ruland, Guillaume Médard, Irmela Jeremias, Karsten Spiekermann, and Bernhard Kuster. The target landscape of clinical kinase drugs. Science, Dec 2017. URL: https://doi.org/10.1126/science.aan4368, doi:10.1126/science.aan4368. This article has 876 citations and is from a highest quality peer-reviewed journal.</w:t>
      </w:r>
    </w:p>
    <w:p>
      <w:pPr>
        <w:numPr>
          <w:ilvl w:val="0"/>
          <w:numId w:val="1001"/>
        </w:numPr>
      </w:pPr>
      <w:r>
        <w:t xml:space="preserve">(kotrasova2021mitochondrialkinasesand pages 19-21): Veronika Kotrasová, Barbora Keresztesová, Gabriela Ondrovičová, Jacob A. Bauer, Henrieta Havalová, Vladimír Pevala, Eva Kutejová, and Nina Kunová. Mitochondrial kinases and the role of mitochondrial protein phosphorylation in health and disease. Life, 11:82, Jan 2021. URL: https://doi.org/10.3390/life11020082, doi:10.3390/life11020082. This article has 29 citations and is from a poor quality or predatory journal.</w:t>
      </w:r>
    </w:p>
    <w:p>
      <w:pPr>
        <w:numPr>
          <w:ilvl w:val="0"/>
          <w:numId w:val="1001"/>
        </w:numPr>
      </w:pPr>
      <w:r>
        <w:t xml:space="preserve">(lin2023snapkinasnapshot pages 3-5): Michael Lin, Di Xiao, Thomas A. Geddes, James G. Burchfield, Benjamin L. Parker, Sean J. Humphrey, and Pengyi Yang. Snapkin: a snapshot deep learning ensemble for kinase-substrate prediction from phosphoproteomics data. BioRxiv, Feb 2023. URL: https://doi.org/10.1101/2021.02.23.432610, doi:10.1101/2021.02.23.432610. This article has 2 citations.</w:t>
      </w:r>
    </w:p>
    <w:p>
      <w:pPr>
        <w:numPr>
          <w:ilvl w:val="0"/>
          <w:numId w:val="1001"/>
        </w:numPr>
      </w:pPr>
      <w:r>
        <w:t xml:space="preserve">(liu2021leveragingdiversedata pages 36-41): C Liu. Leveraging diverse data modalities to study kinase inhibitor polypharmacology. Unknown journal, 2021.</w:t>
      </w:r>
    </w:p>
    <w:p>
      <w:pPr>
        <w:numPr>
          <w:ilvl w:val="0"/>
          <w:numId w:val="1001"/>
        </w:numPr>
      </w:pPr>
      <w:r>
        <w:t xml:space="preserve">(liu2021leveragingdiversedata pages 46-52): C Liu. Leveraging diverse data modalities to study kinase inhibitor polypharmacology. Unknown journal, 2021.</w:t>
      </w:r>
    </w:p>
    <w:p>
      <w:pPr>
        <w:numPr>
          <w:ilvl w:val="0"/>
          <w:numId w:val="1001"/>
        </w:numPr>
      </w:pPr>
      <w:r>
        <w:t xml:space="preserve">(liu2021leveragingdiversedata pages 56-60): C Liu. Leveraging diverse data modalities to study kinase inhibitor polypharmacology. Unknown journal, 2021.</w:t>
      </w:r>
    </w:p>
    <w:p>
      <w:pPr>
        <w:numPr>
          <w:ilvl w:val="0"/>
          <w:numId w:val="1001"/>
        </w:numPr>
      </w:pPr>
      <w:r>
        <w:t xml:space="preserve">(liu2021leveragingdiversedata pages 69-74): C Liu. Leveraging diverse data modalities to study kinase inhibitor polypharmacology. Unknown journal, 2021.</w:t>
      </w:r>
    </w:p>
    <w:p>
      <w:pPr>
        <w:numPr>
          <w:ilvl w:val="0"/>
          <w:numId w:val="1001"/>
        </w:numPr>
      </w:pPr>
      <w:r>
        <w:t xml:space="preserve">(liu2021leveragingdiversedata pages 74-78): C Liu. Leveraging diverse data modalities to study kinase inhibitor polypharmacology. Unknown journal, 2021.</w:t>
      </w:r>
    </w:p>
    <w:p>
      <w:pPr>
        <w:numPr>
          <w:ilvl w:val="0"/>
          <w:numId w:val="1001"/>
        </w:numPr>
      </w:pPr>
      <w:r>
        <w:t xml:space="preserve">(machado2021thep38mapk pages 1-2): Thamires R. Machado, Thayná R. Machado, and Pedro G. Pascutti. The p38 mapk inhibitors and their role in inflammatory diseases. Unknown journal, 6:5729-5742, Jun 2021. URL: https://doi.org/10.1002/slct.202100406, doi:10.1002/slct.202100406. This article has 31 citations.</w:t>
      </w:r>
    </w:p>
    <w:p>
      <w:pPr>
        <w:numPr>
          <w:ilvl w:val="0"/>
          <w:numId w:val="1001"/>
        </w:numPr>
      </w:pPr>
      <w:r>
        <w:t xml:space="preserve">(mobeen2020modelingtheposttranslational pages 9-11): Ahmed Mobeen and Srinivasan Ramachandran. Modeling the post-translational modifications and its effects in the nf-κb pathway. BioRxiv, Feb 2020. URL: https://doi.org/10.1101/2020.02.13.947010, doi:10.1101/2020.02.13.947010. This article has 0 citations.</w:t>
      </w:r>
    </w:p>
    <w:p>
      <w:pPr>
        <w:numPr>
          <w:ilvl w:val="0"/>
          <w:numId w:val="1001"/>
        </w:numPr>
      </w:pPr>
      <w:r>
        <w:t xml:space="preserve">(mullerdott2025fromactivityinference pages 48-52): S Müller-Dott. From activity inference to multi-omics network contextualization: deciphering cellular signaling and disease mechanisms. Unknown journal, 2025.</w:t>
      </w:r>
    </w:p>
    <w:p>
      <w:pPr>
        <w:numPr>
          <w:ilvl w:val="0"/>
          <w:numId w:val="1001"/>
        </w:numPr>
      </w:pPr>
      <w:r>
        <w:t xml:space="preserve">(mullerdott2025fromactivityinferencea pages 48-52): S Müller-Dott. From activity inference to multi-omics network contextualization: deciphering cellular signaling and disease mechanisms. Unknown journal, 2025.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2025-05-22T17:59:04Z</dcterms:created>
  <dcterms:modified xsi:type="dcterms:W3CDTF">2025-05-22T17:59:04Z</dcterms:modified>
</cp:coreProperties>
</file>

<file path=docProps/custom.xml><?xml version="1.0" encoding="utf-8"?>
<Properties xmlns="http://schemas.openxmlformats.org/officeDocument/2006/custom-properties" xmlns:vt="http://schemas.openxmlformats.org/officeDocument/2006/docPropsVTypes"/>
</file>