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ITK (also known as Interleukin‑2‑inducible T‑cell kinase, Kinase EMT, T‑cell‑specific kinase, or Tyrosine‑protein kinase Lyk; UniProt ID Q08881) is a member of the Tec family of non‑receptor tyrosine kinases that evolved to mediate adaptive immune responses in vertebrates. ITK is phylogenetically distinct from other kinase families such as the Src and AGC groups, and its evolutionary trajectory reveals a specialization for T‑cell signaling. Sequence comparisons have shown that ITK shares extensive conservation with homologs in other vertebrate species, underscoring its essential role in T‑cell receptor (TCR) signaling events. Within the Tec kinase family, ITK is closely related to Bruton’s tyrosine kinase (BTK) and RLK/Txk; while BTK primarily governs B‑cell development, ITK has evolved specific functions necessary for T‑cell activation and differentiation. The domain architecture, including the pleckstrin homology (PH), Tec homology (TH), SH3, and SH2 domains, is highly conserved among these kinases, indicating that these regulatory modules were established in a common ancestral gene prior to the divergence of lymphocyte lineages (andreotti2018multidomaincontrolover pages 6-8, bhanumathy2021proteintyrosinekinases pages 2-4).</w:t>
      </w:r>
    </w:p>
    <w:p>
      <w:pPr>
        <w:numPr>
          <w:ilvl w:val="0"/>
          <w:numId w:val="1001"/>
        </w:numPr>
      </w:pPr>
      <w:r>
        <w:t xml:space="preserve">Reaction Catalyzed</w:t>
      </w:r>
      <w:r>
        <w:br/>
      </w:r>
      <w:r>
        <w:t xml:space="preserve">ITK catalyzes the transfer of the γ‑phosphate from ATP to the hydroxyl group of tyrosine residues on specific substrate proteins. In formal biochemical notation, the reaction is represented as:</w:t>
      </w:r>
      <w:r>
        <w:br/>
      </w:r>
      <w:r>
        <w:t xml:space="preserve">  ATP + [protein]-tyrosine → ADP + [protein]-phosphotyrosine + H⁺.</w:t>
      </w:r>
      <w:r>
        <w:br/>
      </w:r>
      <w:r>
        <w:t xml:space="preserve">This phosphorylation event is pivotal, as it induces conformational changes in the substrate, modulates protein–protein interactions, and often alters subcellular localization, which together help propagate intracellular signals. During T‑cell activation, ITK is recruited to the plasma membrane via its PH domain, becomes phosphorylated by the Src family kinase LCK, and then, once activated, phosphorylates several downstream effectors. One of its best characterized substrates is phospholipase C gamma 1 (PLCG1); once phosphorylated, PLCG1 undergoes a conformational change that activates its lipase activity leading to the cleavage of phosphatidylinositol 4,5‑bisphosphate (PIP₂) into the second messengers inositol 1,4,5‑trisphosphate (IP₃) and diacylglycerol (DAG). This reaction, in turn, triggers calcium release from intracellular stores and activates transcriptional programs via nuclear factor of activated T‑cells (NFAT). In addition, ITK phosphorylates adaptor proteins such as LAT and LCP2, and modulates the activity of transcription factors like TBX21 (T‑bet) by phosphorylation at tyrosine 530, which affects its interaction with GATA3—a modification important for T‑helper cell lineage decisions (andreotti2018multidomaincontrolover pages 1-3, ghosh2018interleukin2inducibletcellkinase pages 3-4).</w:t>
      </w:r>
    </w:p>
    <w:p>
      <w:pPr>
        <w:numPr>
          <w:ilvl w:val="0"/>
          <w:numId w:val="1001"/>
        </w:numPr>
      </w:pPr>
      <w:r>
        <w:t xml:space="preserve">Cofactor Requirements</w:t>
      </w:r>
      <w:r>
        <w:br/>
      </w:r>
      <w:r>
        <w:t xml:space="preserve">For its enzymatic function, ITK, like most tyrosine kinases, strictly requires divalent metal ions, principally magnesium (Mg²⁺). Magnesium ions coordinate with ATP in the active site to form a Mg²⁺–ATP complex; this complex properly orients the γ‑phosphate group for an efficient nucleophilic attack by the tyrosine hydroxyl group of the substrate protein. The presence of Mg²⁺ thereby lowers the activation energy for the phosphate transfer and helps stabilize the transition state during catalysis. In addition to its requirement for Mg²⁺, ITK’s activity is also regulated by its subcellular localization. The pleckstrin homology (PH) domain of ITK binds specifically to phosphatidylinositol 3,4,5‑trisphosphate (PIP₃), a lipid second messenger generated by PI3K activity at the plasma membrane. Although PIP₃ is not a cofactor in the classic sense, its binding is essential for bringing ITK into proximity with its substrates and upstream activators such as LCK, hence indirectly promoting the catalytic reaction (howe2019magnesiumrestoresactivity pages 7-8, bilkova2021contemporaryenzymebasedmethods pages 21-22).</w:t>
      </w:r>
    </w:p>
    <w:p>
      <w:pPr>
        <w:numPr>
          <w:ilvl w:val="0"/>
          <w:numId w:val="1001"/>
        </w:numPr>
      </w:pPr>
      <w:r>
        <w:t xml:space="preserve">Substrate Specificity</w:t>
      </w:r>
      <w:r>
        <w:br/>
      </w:r>
      <w:r>
        <w:t xml:space="preserve">ITK displays remarkable substrate specificity that is central to its role in finely tuning T‑cell receptor signaling. The kinase primarily phosphorylates substrates that are directly involved in initiating and propagating T‑cell signals. One of the foremost substrates is phospholipase C gamma 1 (PLCG1), whose phosphorylation is a prerequisite for its conversion of PIP₂ into the critical second messengers IP₃ and DAG. Beyond PLCG1, ITK phosphorylates central adaptor proteins such as LAT (Linker for Activation of T‑cells) and LCP2; phosphorylated LAT and LCP2 serve as scaffolds for the recruitment of additional signaling molecules, including the guanine nucleotide exchange factor VAV1, thereby facilitating extensive signaling network assembly downstream of the TCR. Furthermore, ITK phosphorylates the transcription factor TBX21 (T‑bet) at tyrosine residue 530, a modification that modulates its interaction with GATA3 and thereby influences the differentiation balance between Th1 and Th2 responses. While a strict consensus motif has not been fully delineated for ITK substrates, available data suggest that the kinase selectively targets proteins that are enriched in T‑cell receptor signaling complexes and that possess accessible tyrosine residues in specific structural contexts that allow for efficient substrate recognition (ghosh2018interleukin2inducibletcellkinase pages 3-4, andreotti2018multidomaincontrolover pages 24-26, andreotti2018multidomaincontrolover pages 28-29).</w:t>
      </w:r>
    </w:p>
    <w:p>
      <w:pPr>
        <w:numPr>
          <w:ilvl w:val="0"/>
          <w:numId w:val="1001"/>
        </w:numPr>
      </w:pPr>
      <w:r>
        <w:t xml:space="preserve">Structure</w:t>
      </w:r>
      <w:r>
        <w:br/>
      </w:r>
      <w:r>
        <w:t xml:space="preserve">The structural organization of ITK is emblematic of its multifunctional regulatory roles, being composed of several well-conserved domains. At its N‑terminus resides the pleckstrin homology (PH) domain, which not only mediates the specific binding to phosphoinositide lipids such as PIP₃ (critical for membrane localization) but also exerts autoinhibitory functions by engaging intramolecularly with the kinase domain. Studies have demonstrated that mutations within the β3‑β4 loop of the PH domain, which is rich in basic residues, can disrupt this autoinhibitory interaction and lead to increased kinase activity (devkota2017anautoinhibitoryrole pages 1-3, basu2023gapjunctionalintercellulara pages 66-71).</w:t>
      </w:r>
    </w:p>
    <w:p>
      <w:pPr>
        <w:pStyle w:val="FirstParagraph"/>
      </w:pPr>
      <w:r>
        <w:t xml:space="preserve">Immediately following the PH domain is the Tec homology (TH) domain; although less characterized than its neighboring modules, the TH domain is thought to assist in proper protein folding and may harbor sequences that interact with proline-rich motifs. Sequentially, ITK contains an Src homology 3 (SH3) domain and an Src homology 2 (SH2) domain. The SH3 domain typically recognizes and binds to proline‑rich sequences on interacting proteins, while the SH2 domain binds to phosphorylated tyrosine residues; both domains are critical for mediating the assembly of signaling complexes upon T‑cell receptor engagement.</w:t>
      </w:r>
    </w:p>
    <w:p>
      <w:pPr>
        <w:pStyle w:val="BodyText"/>
      </w:pPr>
      <w:r>
        <w:t xml:space="preserve">Central within ITK is the kinase domain, a bilobed structure common to protein kinases. The smaller N‑lobe is responsible for binding ATP—this binding is Mg²⁺‑dependent—while the larger C‑lobe contains the substrate binding region and the activation loop. Conserved motifs within the kinase domain, such as the DFG motif, are essential for catalytic function. Crystallographic and NMR studies have revealed that in its resting state, autoinhibitory interactions, particularly those between the PH domain and the kinase domain, help maintain ITK in an inactive conformation. Upon binding of phosphoinositides like PIP₃, this inhibitory interface is disrupted, leading to exposure of the activation loop and subsequent phosphorylation (devkota2017anautoinhibitoryrole pages 9-11, andreotti2018multidomaincontrolover pages 29-30, amatya2019dynamicregulatoryfeatures pages 1-3).</w:t>
      </w:r>
    </w:p>
    <w:p>
      <w:pPr>
        <w:pStyle w:val="Compact"/>
        <w:numPr>
          <w:ilvl w:val="0"/>
          <w:numId w:val="1002"/>
        </w:numPr>
      </w:pPr>
      <w:r>
        <w:t xml:space="preserve">Regulation</w:t>
      </w:r>
      <w:r>
        <w:br/>
      </w:r>
      <w:r>
        <w:t xml:space="preserve">The regulation of ITK is a complex process that ensures precise control over T‑cell activation. In resting T‑cells, ITK is maintained in an autoinhibited state by intramolecular interactions—most notably, the PH domain contacts the kinase domain via the β3‑β4 loop, hindering access to the active site. This autoinhibitory conformation prevents unwarranted activation of downstream signaling events and maintains immune quiescence. Upon T‑cell receptor engagement, activation of phosphatidylinositol 3‑kinase (PI3K) leads to the generation of PIP₃ at the plasma membrane; the PIP₃ binds to the PH domain of ITK and induces a conformational change that disrupts the autoinhibitory contacts. This lipid-mediated allosteric regulation facilitates the translocation of ITK to the membrane, where it becomes accessible to the Src family kinase LCK. LCK phosphorylates a critical tyrosine residue within the activation loop of ITK, triggering further autophosphorylation events that fully activate the kinase (andreotti2018multidomaincontrolover pages 6-8, devkota2017anautoinhibitoryrole pages 3-4).</w:t>
      </w:r>
    </w:p>
    <w:p>
      <w:pPr>
        <w:pStyle w:val="FirstParagraph"/>
      </w:pPr>
      <w:r>
        <w:t xml:space="preserve">Additional layers of regulation are imposed by interactions with adaptor proteins such as LAT and LCP2, which stabilize the active conformation of ITK and promote the assembly of multi‐protein signaling complexes. Moreover, small molecule phosphoinositides such as inositol (1,3,4,5)‑tetrakisphosphate (IP₄) can compete with the autoinhibitory interface of the PH domain, further promoting activation. In certain contexts, calcium/calmodulin binding to sites overlapping the PH domain can also enhance ITK activity by preventing reassociation of the autoinhibitory interface. These multiple regulatory inputs—phospholipid binding, phosphorylation by LCK, adaptor protein interactions, and calmodulin association—together ensure that ITK activation is both tightly controlled and responsive to antigen receptor stimulation (andreotti2018multidomaincontrolover pages 20-23, devkota2017anautoinhibitoryrole pages 22-23, hsu2023selectiveinhibitionof pages 14-16).</w:t>
      </w:r>
    </w:p>
    <w:p>
      <w:pPr>
        <w:pStyle w:val="Compact"/>
        <w:numPr>
          <w:ilvl w:val="0"/>
          <w:numId w:val="1003"/>
        </w:numPr>
      </w:pPr>
      <w:r>
        <w:t xml:space="preserve">Function</w:t>
      </w:r>
      <w:r>
        <w:br/>
      </w:r>
      <w:r>
        <w:t xml:space="preserve">ITK serves as a pivotal amplifier in T‑cell receptor signaling. Its activation is essential for translating extracellular antigen recognition into robust intracellular responses that culminate in T‑cell proliferation, cytokine production, and differentiation. Following antigen presentation to the T‑cell receptor, ITK is recruited to the plasma membrane via its PH domain; this localization facilitates its phosphorylation by LCK and subsequent autophosphorylation. Once active, ITK phosphorylates key substrates such as PLCG1. The phosphorylation of PLCG1 activates its lipase function, leading to the generation of second messengers IP₃ and DAG from PIP₂; IP₃ stimulates the release of Ca²⁺ from the endoplasmic reticulum, while DAG, in combination with elevated Ca²⁺ levels, helps activate protein kinase C (PKC). This cascade ultimately results in the nuclear translocation of NFAT and other transcription factors, which drive the expression of genes involved in T‑cell proliferation, differentiation, and effector function.</w:t>
      </w:r>
    </w:p>
    <w:p>
      <w:pPr>
        <w:pStyle w:val="FirstParagraph"/>
      </w:pPr>
      <w:r>
        <w:t xml:space="preserve">In addition to PLCG1, ITK phosphorylates adaptor proteins such as LAT and LCP2, which serve to assemble larger signalosomes by recruiting downstream effectors like VAV1. These complexes mediate further signal propagation that leads to cytoskeletal rearrangements and additional activation of mitogen‑activated protein kinase (MAPK) pathways. A particularly notable function of ITK is its phosphorylation of the transcription factor TBX21 (T‑bet) at tyrosine 530. This modification modulates T‑bet’s interaction with GATA3, thereby influencing the differentiation of T‑helper cell subsets, specifically balancing Th1/Th2 lineage commitment. ITK is not only critical for classical αβ T‑cell function but also plays a role in the T‑cell receptor-mediated signaling in gamma‑delta T cells, further emphasizing its broad importance in T‑cell biology (andreotti2018multidomaincontrolover pages 1-3, basu2023gapjunctionalintercellular pages 165-167, elmore2021tyrosinekinaseitk pages 59-61).</w:t>
      </w:r>
    </w:p>
    <w:p>
      <w:pPr>
        <w:pStyle w:val="Compact"/>
        <w:numPr>
          <w:ilvl w:val="0"/>
          <w:numId w:val="1004"/>
        </w:numPr>
      </w:pPr>
      <w:r>
        <w:t xml:space="preserve">Other Comments</w:t>
      </w:r>
      <w:r>
        <w:br/>
      </w:r>
      <w:r>
        <w:t xml:space="preserve">Because of its central role in T‑cell receptor signaling and adaptive immune modulation, ITK has become an attractive target for therapeutic intervention. Small molecule inhibitors of ITK, such as the covalent inhibitor PRN694, have been developed based on structural features of the kinase domain and are being explored for their utility in treating immune‑mediated disorders and T‑cell malignancies. These inhibitors function by binding to the ATP‑binding pocket or by interfering with the allosteric regulation imposed by the PH domain, and they have shown promise in preclinical models of allergic asthma, autoimmune diseases, and certain lymphomas (bunuel2024targetingzap70protein pages 175-178, hsu2023selectiveinhibitionof pages 16-20).</w:t>
      </w:r>
    </w:p>
    <w:p>
      <w:pPr>
        <w:pStyle w:val="FirstParagraph"/>
      </w:pPr>
      <w:r>
        <w:t xml:space="preserve">Furthermore, genetic deficiency or mutations in ITK have been linked to severe immunodeficiency syndromes characterized by impaired T‑cell activation, susceptibility to viral infections (notably Epstein‑Barr virus), and an increased risk of lymphoproliferative disorders. Some mutations disrupt critical domains, such as the PH, SH2, or kinase domain, leading to misregulation of signal transduction and subsequent immune dysregulation. Ongoing research aims to elucidate the detailed structural mechanisms governing ITK’s autoinhibition and activation, utilizing advanced techniques like hydrogen/deuterium exchange mass spectrometry, small‑angle X‑ray scattering, and computational modeling. These studies not only improve our understanding of ITK biology but also facilitate the rational design of next‑generation therapeutic agents with enhanced specificity and potency.</w:t>
      </w:r>
    </w:p>
    <w:p>
      <w:pPr>
        <w:pStyle w:val="BodyText"/>
      </w:pPr>
      <w:r>
        <w:t xml:space="preserve">The balanced regulation of T‑helper cell differentiation by ITK is another area of active investigation. ITK modulates the production of key cytokines across various T‑cell subsets, influencing the shift between pro‑inflammatory responses (e.g., Th17) and regulatory or anti‑inflammatory responses (e.g., Tregs). This fine tuning is critical for maintaining immune homeostasis and preventing conditions such as autoimmunity and chronic inflammation. As a result, ITK is considered a potential biomarker for immune function as well as a therapeutic target for modulating immune responses in diseases including allergic asthma, inflammatory bowel disease, and certain autoimmune lymphomas (andreotti2018multidomaincontrolover pages 28-29, basu2023gapjunctionalintercellulara pages 66-71).</w:t>
      </w:r>
    </w:p>
    <w:p>
      <w:pPr>
        <w:pStyle w:val="Compact"/>
        <w:numPr>
          <w:ilvl w:val="0"/>
          <w:numId w:val="1005"/>
        </w:numPr>
      </w:pPr>
      <w:r>
        <w:t xml:space="preserve">References</w:t>
      </w:r>
      <w:r>
        <w:br/>
      </w:r>
      <w:r>
        <w:t xml:space="preserve">amatya2019dynamicregulatoryfeatures pages 1-3, andreotti2018multidomaincontrolover pages 1-3, andreotti2018multidomaincontrolover pages 20-23, andreotti2018multidomaincontrolover pages 24-26, andreotti2018multidomaincontrolover pages 28-29, andreotti2018multidomaincontrolover pages 29-30, andreotti2018multidomaincontrolover pages 6-8, basu2023gapjunctionalintercellular pages 165-167, basu2023gapjunctionalintercellular pages 66-71, basu2023gapjunctionalintercellulara pages 165-167, basu2023gapjunctionalintercellulara pages 66-71, bhanumathy2021proteintyrosinekinases pages 2-4, bunuel2024targetingzap70protein pages 175-178, devkota2017anautoinhibitoryrole pages 1-3, devkota2017anautoinhibitoryrole pages 11-13, devkota2017anautoinhibitoryrole pages 13-15, devkota2017anautoinhibitoryrole pages 22-23, devkota2017anautoinhibitoryrole pages 3-4, devkota2017anautoinhibitoryrole pages 9-11, elmore2021tyrosinekinaseitk pages 59-61, elmore2021tyrosinekinaseitka pages 59-61, ghosh2018interleukin2inducibletcellkinase pages 3-4, ghosh2018interleukin2inducibletcellkinase pages 6-7, ghosh2018interleukin2inducibletcellkinase pages 7-7, howe2019magnesiumrestoresactivity pages 7-8, bilkova2021contemporaryenzymebasedmethods pages 21-22, hsu2023selectiveinhibitionof pages 1-3, hsu2023selectiveinhibitionof pages 14-16, hsu2023selectiveinhibitionof pages 16-20, creeden2020emergingkinasetherapeutic pages 10-12, creeden2020emergingkinasetherapeutic pages 14-15, creeden2020emergingkinasetherapeutic pages 15-18.</w:t>
      </w:r>
    </w:p>
    <w:p>
      <w:pPr>
        <w:pStyle w:val="FirstParagraph"/>
      </w:pPr>
      <w:r>
        <w:t xml:space="preserve">References</w:t>
      </w:r>
    </w:p>
    <w:p>
      <w:pPr>
        <w:numPr>
          <w:ilvl w:val="0"/>
          <w:numId w:val="1006"/>
        </w:numPr>
      </w:pPr>
      <w:r>
        <w:t xml:space="preserve">(amatya2019dynamicregulatoryfeatures pages 1-3): Neha Amatya, David Yin-wei Lin, and Amy H. Andreotti. Dynamic regulatory features of the protein tyrosine kinases. Biochemical Society Transactions, 47:1101-1116, Aug 2019. URL: https://doi.org/10.1042/bst20180590, doi:10.1042/bst20180590. This article has 31 citations and is from a peer-reviewed journal.</w:t>
      </w:r>
    </w:p>
    <w:p>
      <w:pPr>
        <w:numPr>
          <w:ilvl w:val="0"/>
          <w:numId w:val="1006"/>
        </w:numPr>
      </w:pPr>
      <w:r>
        <w:t xml:space="preserve">(andreotti2018multidomaincontrolover pages 1-3):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6"/>
        </w:numPr>
      </w:pPr>
      <w:r>
        <w:t xml:space="preserve">(andreotti2018multidomaincontrolover pages 20-23):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6"/>
        </w:numPr>
      </w:pPr>
      <w:r>
        <w:t xml:space="preserve">(andreotti2018multidomaincontrolover pages 24-26):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6"/>
        </w:numPr>
      </w:pPr>
      <w:r>
        <w:t xml:space="preserve">(andreotti2018multidomaincontrolover pages 28-29):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6"/>
        </w:numPr>
      </w:pPr>
      <w:r>
        <w:t xml:space="preserve">(andreotti2018multidomaincontrolover pages 29-30):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6"/>
        </w:numPr>
      </w:pPr>
      <w:r>
        <w:t xml:space="preserve">(andreotti2018multidomaincontrolover pages 6-8):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6"/>
        </w:numPr>
      </w:pPr>
      <w:r>
        <w:t xml:space="preserve">(basu2023gapjunctionalintercellular pages 165-167): I Basu. Gap junctional intercellular communication: role of cx43 phosphorylation by tyrosine kinases. Unknown journal, 2023.</w:t>
      </w:r>
    </w:p>
    <w:p>
      <w:pPr>
        <w:numPr>
          <w:ilvl w:val="0"/>
          <w:numId w:val="1006"/>
        </w:numPr>
      </w:pPr>
      <w:r>
        <w:t xml:space="preserve">(basu2023gapjunctionalintercellular pages 66-71): I Basu. Gap junctional intercellular communication: role of cx43 phosphorylation by tyrosine kinases. Unknown journal, 2023.</w:t>
      </w:r>
    </w:p>
    <w:p>
      <w:pPr>
        <w:numPr>
          <w:ilvl w:val="0"/>
          <w:numId w:val="1006"/>
        </w:numPr>
      </w:pPr>
      <w:r>
        <w:t xml:space="preserve">(basu2023gapjunctionalintercellulara pages 165-167): I Basu. Gap junctional intercellular communication: role of cx43 phosphorylation by tyrosine kinases. Unknown journal, 2023.</w:t>
      </w:r>
    </w:p>
    <w:p>
      <w:pPr>
        <w:numPr>
          <w:ilvl w:val="0"/>
          <w:numId w:val="1006"/>
        </w:numPr>
      </w:pPr>
      <w:r>
        <w:t xml:space="preserve">(basu2023gapjunctionalintercellulara pages 66-71): I Basu. Gap junctional intercellular communication: role of cx43 phosphorylation by tyrosine kinases. Unknown journal, 2023.</w:t>
      </w:r>
    </w:p>
    <w:p>
      <w:pPr>
        <w:numPr>
          <w:ilvl w:val="0"/>
          <w:numId w:val="1006"/>
        </w:numPr>
      </w:pPr>
      <w:r>
        <w:t xml:space="preserve">(bhanumathy2021proteintyrosinekinases pages 2-4):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6"/>
        </w:numPr>
      </w:pPr>
      <w:r>
        <w:t xml:space="preserve">(bunuel2024targetingzap70protein pages 175-178): C Hernández Buñuel. Targeting zap-70 protein kinase in t-cell lymphoproliferative malignancies. Unknown journal, 2024.</w:t>
      </w:r>
    </w:p>
    <w:p>
      <w:pPr>
        <w:numPr>
          <w:ilvl w:val="0"/>
          <w:numId w:val="1006"/>
        </w:numPr>
      </w:pPr>
      <w:r>
        <w:t xml:space="preserve">(devkota2017anautoinhibitoryrole pages 1-3):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6"/>
        </w:numPr>
      </w:pPr>
      <w:r>
        <w:t xml:space="preserve">(devkota2017anautoinhibitoryrole pages 11-13):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6"/>
        </w:numPr>
      </w:pPr>
      <w:r>
        <w:t xml:space="preserve">(devkota2017anautoinhibitoryrole pages 13-15):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6"/>
        </w:numPr>
      </w:pPr>
      <w:r>
        <w:t xml:space="preserve">(devkota2017anautoinhibitoryrole pages 22-23):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6"/>
        </w:numPr>
      </w:pPr>
      <w:r>
        <w:t xml:space="preserve">(devkota2017anautoinhibitoryrole pages 3-4):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6"/>
        </w:numPr>
      </w:pPr>
      <w:r>
        <w:t xml:space="preserve">(devkota2017anautoinhibitoryrole pages 9-11):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6"/>
        </w:numPr>
      </w:pPr>
      <w:r>
        <w:t xml:space="preserve">(elmore2021tyrosinekinaseitk pages 59-61): J Elmore. Tyrosine kinase itk and the th17 and t regulatory response in a murine model of lung inflammatory hypersensitivity pneumonitis. Unknown journal, 2021.</w:t>
      </w:r>
    </w:p>
    <w:p>
      <w:pPr>
        <w:numPr>
          <w:ilvl w:val="0"/>
          <w:numId w:val="1006"/>
        </w:numPr>
      </w:pPr>
      <w:r>
        <w:t xml:space="preserve">(elmore2021tyrosinekinaseitka pages 59-61): J Elmore. Tyrosine kinase itk and the th17 and t regulatory response in a murine model of lung inflammatory hypersensitivity pneumonitis. Unknown journal, 2021.</w:t>
      </w:r>
    </w:p>
    <w:p>
      <w:pPr>
        <w:numPr>
          <w:ilvl w:val="0"/>
          <w:numId w:val="1006"/>
        </w:numPr>
      </w:pPr>
      <w:r>
        <w:t xml:space="preserve">(ghosh2018interleukin2inducibletcellkinase pages 3-4): Sujal Ghosh, Ingo Drexler, Sanil Bhatia, Heiko Adler, Andrew R. Gennery, and Arndt Borkhardt. Interleukin-2-inducible t-cell kinase deficiency—new patients, new insight? Frontiers in Immunology, May 2018. URL: https://doi.org/10.3389/fimmu.2018.00979, doi:10.3389/fimmu.2018.00979. This article has 42 citations and is from a peer-reviewed journal.</w:t>
      </w:r>
    </w:p>
    <w:p>
      <w:pPr>
        <w:numPr>
          <w:ilvl w:val="0"/>
          <w:numId w:val="1006"/>
        </w:numPr>
      </w:pPr>
      <w:r>
        <w:t xml:space="preserve">(ghosh2018interleukin2inducibletcellkinase pages 6-7): Sujal Ghosh, Ingo Drexler, Sanil Bhatia, Heiko Adler, Andrew R. Gennery, and Arndt Borkhardt. Interleukin-2-inducible t-cell kinase deficiency—new patients, new insight? Frontiers in Immunology, May 2018. URL: https://doi.org/10.3389/fimmu.2018.00979, doi:10.3389/fimmu.2018.00979. This article has 42 citations and is from a peer-reviewed journal.</w:t>
      </w:r>
    </w:p>
    <w:p>
      <w:pPr>
        <w:numPr>
          <w:ilvl w:val="0"/>
          <w:numId w:val="1006"/>
        </w:numPr>
      </w:pPr>
      <w:r>
        <w:t xml:space="preserve">(ghosh2018interleukin2inducibletcellkinase pages 7-7): Sujal Ghosh, Ingo Drexler, Sanil Bhatia, Heiko Adler, Andrew R. Gennery, and Arndt Borkhardt. Interleukin-2-inducible t-cell kinase deficiency—new patients, new insight? Frontiers in Immunology, May 2018. URL: https://doi.org/10.3389/fimmu.2018.00979, doi:10.3389/fimmu.2018.00979. This article has 42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2025-05-22T19:23:02Z</dcterms:created>
  <dcterms:modified xsi:type="dcterms:W3CDTF">2025-05-22T19:23:02Z</dcterms:modified>
</cp:coreProperties>
</file>

<file path=docProps/custom.xml><?xml version="1.0" encoding="utf-8"?>
<Properties xmlns="http://schemas.openxmlformats.org/officeDocument/2006/custom-properties" xmlns:vt="http://schemas.openxmlformats.org/officeDocument/2006/docPropsVTypes"/>
</file>