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LIM domain kinase 1 (LIMK1) belongs to a small family of kinases that share a conserved domain architecture and regulatory mechanisms, with LIMK2 as its closest paralog; overall, LIMK1 and LIMK2 share approximately 50% amino acid identity, with even higher conservation (around 70%) in their catalytic kinase domain (brion2021limkinasesin pages 1-2, chatterjee2022structuralaspectsof pages 1-3). This protein is identifiable in all mammalian species and is conserved in other vertebrates, reflecting its emergence evolutionarily alongside increased cellular complexity and specialized cytoskeletal regulation in multicellular organisms. In contrast to simpler eukaryotes – where homologous actin regulatory kinases are either absent or extremely divergent – LIMK1 appears only in organisms that require intensive control over actin dynamics during developmental processes, neuronal morphogenesis, and other complex cellular functions (fraboulet2022theroleof pages 1-2). Phylogenetically, LIMK1 is classified as a serine/threonine kinase that, despite some historical misclassification owing to its name, consistently functions downstream of Rho family GTPases, acting as a key integrator of signals that control cytoskeletal architecture (brion2021limkinasesin pages 1-2, chatterjee2022structuralaspectsof pages 8-10). Orthologs have been detected in numerous vertebrate genomes, and while invertebrates such as Drosophila demonstrate proteins with limited similarity in sequence, the complete domain organization found in vertebrate LIMK1 – consisting of tandem LIM domains, a PDZ domain, and a C-terminal kinase domain – underlines a conserved evolutionary trajectory (fraboulet2022theroleof pages 13-15). This conservation indicates that the regulatory functions required for precise actin filament control were essential during the evolution of complex tissues such as the brain and muscle, where rapid and regulated cytoskeletal remodeling is essential (brion2021limkinasesin pages 1-2).</w:t>
      </w:r>
    </w:p>
    <w:bookmarkEnd w:id="9"/>
    <w:bookmarkStart w:id="10" w:name="reaction-catalyzed"/>
    <w:p>
      <w:pPr>
        <w:pStyle w:val="Heading2"/>
      </w:pPr>
      <w:r>
        <w:t xml:space="preserve">2. Reaction Catalyzed</w:t>
      </w:r>
    </w:p>
    <w:p>
      <w:pPr>
        <w:pStyle w:val="FirstParagraph"/>
      </w:pPr>
      <w:r>
        <w:t xml:space="preserve">LIMK1 mediates a highly specific phosphorylation reaction that is ATP-dependent. The enzyme transfers the γ-phosphate group from ATP to the hydroxyl group of serine (and in some contexts, threonine) residues present on its substrate proteins (brion2021limkinasesin pages 1-2, chatterjee2022structuralaspectsof pages 3-4). The core reaction catalyzed by LIMK1 involves the phosphorylation and consequent inactivation of actin depolymerizing factors. Its best characterized substrates are members of the cofilin family—specifically, cofilin-1 (CFL1), cofilin-2 (CFL2), and destrin (DSTN)—which normally promote actin filament severing and depolymerization (coumans2018cofilinandprofilin pages 2-4, chatterjee2022structuralaspectsof pages 3-4). Phosphorylation occurs predominantly at the serine 3 residue of cofilin, a modification that disrupts its actin-binding activity, thereby leading to the stabilization and accumulation of filamentous actin (F-actin) throughout the cell (brion2021limkinasesin pages 1-2, chatterjee2022structuralaspectsof pages 8-10). In addition, LIMK1 phosphorylates tubulin polymerization-promoting protein (TPPP) on its serine residues, which results in microtubule disassembly and further connects LIMK1’s role to the regulation of two major cytoskeletal systems (brion2021limkinasesin pages 1-2, chatterjee2022structuralaspectsof pages 8-10). The complete catalytic reaction can be summarized as:</w:t>
      </w:r>
      <w:r>
        <w:br/>
      </w:r>
      <w:r>
        <w:t xml:space="preserve"> ATP + [protein]–OH → ADP + [protein]–O‑phosphate + H⁺</w:t>
      </w:r>
      <w:r>
        <w:br/>
      </w:r>
      <w:r>
        <w:t xml:space="preserve">where the substrate is typically an actin-binding protein such as cofilin, and the phosphate group addition irreversibly alters the protein’s conformation and function (chatterjee2022structuralaspectsof pages 3-4). This biochemical modification is crucial for controlling the dynamic behavior of actin filaments, affecting cell shape, motility, and cell cycle progression (brion2021limkinasesin pages 1-2).</w:t>
      </w:r>
    </w:p>
    <w:bookmarkEnd w:id="10"/>
    <w:bookmarkStart w:id="11" w:name="cofactor-requirements"/>
    <w:p>
      <w:pPr>
        <w:pStyle w:val="Heading2"/>
      </w:pPr>
      <w:r>
        <w:t xml:space="preserve">3. Cofactor Requirements</w:t>
      </w:r>
    </w:p>
    <w:p>
      <w:pPr>
        <w:pStyle w:val="FirstParagraph"/>
      </w:pPr>
      <w:r>
        <w:t xml:space="preserve">The kinase activity of LIMK1, consistent with most serine/threonine kinases, is dependent on the presence of ATP as the phosphate donor and a divalent metal ion to coordinate the catalytic reaction. Among the metal ions, Mg²⁺ is typically essential, serving to stabilize the negative charges on ATP and properly orient it in the active site for effective phosphotransfer (brion2021limkinasesin pages 1-2, chatterjee2022structuralaspectsof pages 3-4). Although the provided literature does not elaborate extensively on alternate metal ions, the requirement for Mg²⁺ is a well-established hallmark common to the vast majority of kinases. No evidence in the current context indicates the need for any non-metal cofactors or unusual regulatory molecules beyond the standard requirement of ATP and Mg²⁺ (brion2021limkinasesin pages 1-2). This cofactor dependency is critical to orchestrate the proper catalytic geometry in the enzyme’s active center, ensuring high fidelity during phosphate group transfer (chatterjee2022structuralaspectsof pages 3-4).</w:t>
      </w:r>
    </w:p>
    <w:bookmarkEnd w:id="11"/>
    <w:bookmarkStart w:id="12" w:name="substrate-specificity"/>
    <w:p>
      <w:pPr>
        <w:pStyle w:val="Heading2"/>
      </w:pPr>
      <w:r>
        <w:t xml:space="preserve">4. Substrate Specificity</w:t>
      </w:r>
    </w:p>
    <w:p>
      <w:pPr>
        <w:pStyle w:val="FirstParagraph"/>
      </w:pPr>
      <w:r>
        <w:t xml:space="preserve">LIMK1 demonstrates a high degree of substrate specificity toward proteins that regulate actin filament dynamics. Its physiological substrates include members of the cofilin family—namely, cofilin-1, cofilin-2, and destrin—which are centrally involved in actin depolymerization and filament turnover (brion2021limkinasesin pages 1-2, coumans2018cofilinandprofilin pages 2-4). The phosphorylation of cofilin at its serine 3 residue by LIMK1 inactivates the actin-binding and severing functions of these proteins, effectively stabilizing F-actin structures and altering cellular dynamics (brion2021limkinasesin pages 1-2, chatterjee2022structuralaspectsof pages 8-10). In terms of substrate recognition, LIMK1 does not appear to rely on a simple linear consensus sequence; instead, it appears that substrate specificity is conferred partly by tertiary interactions. Structural studies have described a “rock-and-poke” mechanism in which substrates such as CFL1 dock via an anchor helix that binds a specific interface on the kinase outside the immediate vicinity of the catalytic catalytic cleft (chatterjee2022structuralaspectsof pages 4-6, chatterjee2022structuralaspectsof pages 6-8). This docking mechanism allows the target serine residue (e.g., Ser3 of cofilin) to be optimally aligned for efficient phosphorylation. Further, LIMK1 also phosphorylates TPPP, a microtubule-associated protein, indicating its substrate repertoire extends beyond just actin regulatory proteins (brion2021limkinasesin pages 1-2). While no strict consensus motif has been defined in the provided sources, the requirement for an accessible serine residue, along with the presence of specific docking features, appears to be key in substrate recognition (chatterjee2022structuralaspectsof pages 4-6).</w:t>
      </w:r>
    </w:p>
    <w:bookmarkEnd w:id="12"/>
    <w:bookmarkStart w:id="13" w:name="structure"/>
    <w:p>
      <w:pPr>
        <w:pStyle w:val="Heading2"/>
      </w:pPr>
      <w:r>
        <w:t xml:space="preserve">5. Structure</w:t>
      </w:r>
    </w:p>
    <w:p>
      <w:pPr>
        <w:pStyle w:val="FirstParagraph"/>
      </w:pPr>
      <w:r>
        <w:t xml:space="preserve">LIMK1 is a modular protein that is characterized by a distinct domain architecture essential for its regulatory functions and catalytic activity. At the extreme amino terminus, LIMK1 contains two LIM domains; these domains are zinc-binding motifs that consist of tandem zinc fingers stabilized by conserved cysteine and histidine residues (brion2021limkinasesin pages 1-2, estevez2016signalingmechanismsof pages 76-81). The LIM domains are primarily involved in mediating protein–protein interactions and are implicated in both dimerization and intramolecular auto-inhibition by engaging with the kinase domain. Following the LIM domains is a PDZ domain, which is thought to contribute to the trafficking of LIMK1 between the cytoplasm and nucleus, and may facilitate the assembly of signaling complexes (estevez2016signalingmechanismsof pages 76-81, fraboulet2022theroleof pages 1-2). A serine/proline-rich region is located immediately downstream of the PDZ domain; this segment likely serves as a flexible linker that permits independent movement and regulatory interactions among the structured domains (estevez2016signalingmechanismsofa pages 76-81). The carboxy-terminal portion of LIMK1 encompasses its catalytic kinase domain. This highly conserved domain contains several structural motifs hallmark to serine/threonine kinases, including the glycine-rich loop, which helps to coordinate ATP binding, a VAIK motif that forms critical interactions with the nucleotide, and an HRDL motif that is part of the catalytic loop (chatterjee2022structuralaspectsof pages 3-4, chatterjee2022structuralaspectsof pages 8-10). In the activation loop of the kinase domain, LIMK1 features a regulatory threonine (Thr508) whose phosphorylation is crucial for activation; this modification stabilizes the enzyme in an active, “DFG-in” conformation, while the DFG motif itself can switch between active and inactive structural arrangements (chatterjee2022structuralaspectsof pages 11-12). An intriguing and unique property observed in structural studies is the “rock-and-poke” mechanism for substrate recognition, where the substrate’s docking helix interacts with a region on LIMK1 that is distinct from the catalytic cleft, thus permitting a dynamic “rocking” movement into the active site for phosphorylation (chatterjee2022structuralaspectsof pages 4-6, chatterjee2022structuralaspectsof pages 6-8). Crystal structures and predictive AlphaFold models have consistently confirmed this modular organization and have provided insights into the dynamic interplay between the regulatory LIM and PDZ domains and the kinase domain (chatterjee2022structuralaspectsof pages 10-11, estevez2016signalingmechanismsof pages 76-81). These structural features collectively enable LIMK1 to integrate multiple signaling inputs and to modulate its catalytic output with high specificity.</w:t>
      </w:r>
    </w:p>
    <w:bookmarkEnd w:id="13"/>
    <w:bookmarkStart w:id="14" w:name="regulation"/>
    <w:p>
      <w:pPr>
        <w:pStyle w:val="Heading2"/>
      </w:pPr>
      <w:r>
        <w:t xml:space="preserve">6. Regulation</w:t>
      </w:r>
    </w:p>
    <w:p>
      <w:pPr>
        <w:pStyle w:val="FirstParagraph"/>
      </w:pPr>
      <w:r>
        <w:t xml:space="preserve">The activity of LIMK1 is governed by a complex network of regulatory mechanisms that include both phosphorylation events and domain-mediated intramolecular interactions. A central regulatory mechanism involves the phosphorylation of a conserved threonine residue within the activation loop of the kinase domain (Thr508 in LIMK1), which is carried out by various upstream kinases such as ROCK1, PAK1, and PAK4 (brion2021limkinasesin pages 1-2, chatterjee2022structuralaspectsof pages 3-4). This phosphorylation event stabilizes the active conformation of the enzyme by forming a salt bridge with nearby basic residues, thereby preventing the DFG motif from flipping into an inactive “DFG-out” state (chatterjee2022structuralaspectsof pages 11-12). Additionally, LIMK1 regulation is further modulated via autoinhibition mediated by its regulatory domains; the N-terminal LIM domains, for example, can maintain the kinase in a relatively inactive state by forming intramolecular contacts with the kinase domain, and deletion or mutation of these LIM domains leads to an increase in basal kinase activity (estevez2016signalingmechanismsof pages 76-81, fraboulet2022theroleof pages 1-2). The PDZ domain also plays a role in subcellular localization, as proper nucleocytoplasmic trafficking is essential for LIMK1 to properly access its substrates, and mutations in the PDZ domain’s nuclear export signals can alter this balance (estevez2016signalingmechanismsof pages 76-81).</w:t>
      </w:r>
    </w:p>
    <w:p>
      <w:pPr>
        <w:pStyle w:val="BodyText"/>
      </w:pPr>
      <w:r>
        <w:t xml:space="preserve">Phosphatases, particularly those belonging to the slingshot (SSH) family, counteract the action of LIMK1 by dephosphorylating its substrates – for instance, removing the phosphate group from cofilin, thus restoring cofilin’s actin severing activity and allowing dynamic turnover of the actin cytoskeleton (coumans2018cofilinandprofilin pages 2-4, fraboulet2022theroleof pages 17-17). In addition to these enzyme-driven modifications, dimerization mediated by the LIM domains is thought to modulate LIMK1’s stability and substrate recognition capacity. Experimental evidence suggests that homo- or heterodimer formation via these domains can either enhance or inhibit the catalytic activity depending on the precise structural arrangement, thereby adding an additional layer of regulation (fraboulet2022theroleof pages 13-15, chatterjee2022structuralaspectsof pages 4-6). Collectively, these mechanisms ensure that LIMK1 activity is tightly tuned in response to both upstream signaling events and local cellular conditions, thereby regulating the balance between actin filament stabilization and turnover in various physiological contexts.</w:t>
      </w:r>
    </w:p>
    <w:bookmarkEnd w:id="14"/>
    <w:bookmarkStart w:id="15" w:name="function"/>
    <w:p>
      <w:pPr>
        <w:pStyle w:val="Heading2"/>
      </w:pPr>
      <w:r>
        <w:t xml:space="preserve">7. Function</w:t>
      </w:r>
    </w:p>
    <w:p>
      <w:pPr>
        <w:pStyle w:val="FirstParagraph"/>
      </w:pPr>
      <w:r>
        <w:t xml:space="preserve">LIMK1 is a central effector in the regulation of actin filament dynamics and thus plays a pivotal role in numerous cellular processes. By phosphorylating cofilin-1, cofilin-2, and destrin at serine residues (predominantly at Ser3), LIMK1 inactivates these actin-depolymerizing factors, thereby preventing the severing of filamentous actin; the net result is the stabilization and accumulation of F-actin within the cell (brion2021limkinasesin pages 1-2, coumans2018cofilinandprofilin pages 2-4). This actin stabilization is critical for maintaining cell shape, supporting the formation of cellular protrusions necessary for motility, and regulating the cell cycle and differentiation processes (brion2021limkinasesin pages 1-2, chatterjee2022structuralaspectsof pages 8-10). In addition to its role in actin regulation, LIMK1 has been shown to phosphorylate TPPP, leading to microtubule disassembly; this dual regulation of both actin and microtubule cytoskeletal systems underscores its integrative function in controlling cellular architecture (brion2021limkinasesin pages 1-2, chatterjee2022structuralaspectsof pages 8-10).</w:t>
      </w:r>
    </w:p>
    <w:p>
      <w:pPr>
        <w:pStyle w:val="BodyText"/>
      </w:pPr>
      <w:r>
        <w:t xml:space="preserve">LIMK1 expression is particularly high in neural tissues, where its activity is essential for processes such as axonal outgrowth, dendritic spine formation, and synaptic plasticity; these functions are critical determinants of brain development and cognitive function (chatterjee2022structuralaspectsof pages 10-11). Aberrant LIMK1 activity has been implicated in several pathological conditions. For example, dysregulation of LIMK1 activity is associated with altered synaptic morphology in neurodevelopmental disorders such as Williams–Beuren syndrome, and increased LIMK1 activity has been observed in various cancers where it contributes to enhanced cell migration and invasiveness by stabilizing the actin cytoskeleton (fraboulet2022theroleof pages 13-15, brion2021limkinasesin pages 1-2). Furthermore, the role of LIMK1 in cytoskeletal dynamics extends to other cell types, including platelets and immune cells such as natural killer cells and microglia, where proper actin remodeling is essential for cell activation and function (chatterjee2022structuralaspectsof pages 8-10). Thus, LIMK1 functions as a critical regulatory node that translates upstream Rho GTPase signals into precise changes in the cytoskeletal architecture, impacting processes from cell motility and adhesion to tissue morphogenesis and synaptic regulation.</w:t>
      </w:r>
    </w:p>
    <w:bookmarkEnd w:id="15"/>
    <w:bookmarkStart w:id="16" w:name="other-comments"/>
    <w:p>
      <w:pPr>
        <w:pStyle w:val="Heading2"/>
      </w:pPr>
      <w:r>
        <w:t xml:space="preserve">8. Other Comments</w:t>
      </w:r>
    </w:p>
    <w:p>
      <w:pPr>
        <w:pStyle w:val="FirstParagraph"/>
      </w:pPr>
      <w:r>
        <w:t xml:space="preserve">LIMK1 has garnered significant attention as a promising therapeutic target due to its central role in actin cytoskeleton reorganization and its implications in pathological conditions. In the context of cancer, targeting LIMK1 may reduce tumor invasiveness and metastasis by destabilizing the cytoskeletal structures required for cell migration (fraboulet2022theroleof pages 13-15, shah2023limk2amultifaceted pages 1-3). Its role in neural development further connects LIMK1 to neurodevelopmental disorders and cognitive impairments, exemplified by its involvement in Williams–Beuren syndrome, where deletion or dysregulation of the LIMK1 gene contributes to specific craniofacial and cognitive abnormalities (fraboulet2022theroleof pages 1-2, villalonga2023limkinaseslimk1 pages 31-32). Additionally, the unique “rock-and-poke” substrate recognition mechanism of LIMK1 offers novel opportunities for drug design. Inhibitors that target this allosteric substrate docking interface might provide increased selectivity over conventional ATP-competitive inhibitors, which often suffer from off-target effects (chatterjee2022structuralaspectsof pages 4-6, villalonga2023limkinaseslimk1 pages 2-6). Current research is increasingly focused on detailed structural and computational studies in order to elucidate the conformational dynamics of LIMK1 and to design inhibitors that modulate its activity without interfering with upstream signaling components (pei2023computationalanalysisof pages 1-2, reys2022insilicoprofiling pages 29-32).</w:t>
      </w:r>
    </w:p>
    <w:p>
      <w:pPr>
        <w:pStyle w:val="BodyText"/>
      </w:pPr>
      <w:r>
        <w:t xml:space="preserve">Furthermore, mutations in LIMK1 that affect its activation loop phosphorylation or its ability to form proper intramolecular inhibitory contacts have been suggested as potential biomarkers for diseases characterized by cytoskeletal dysfunction. Beyond small molecule inhibitors, approaches such as PROTACs that induce selective degradation of LIMK1 are emerging therapeutic strategies aimed at abrogating its pathological effects (southekal2021integrativeanalysisof pages 19-25). In summary, LIMK1 remains at the forefront of research into cytoskeletal regulation, with multifaceted roles in normal physiology and in disease, making it an attractive candidate both for fundamental studies and for pharmacological intervention.</w:t>
      </w:r>
    </w:p>
    <w:bookmarkEnd w:id="16"/>
    <w:bookmarkStart w:id="17" w:name="references"/>
    <w:p>
      <w:pPr>
        <w:pStyle w:val="Heading2"/>
      </w:pPr>
      <w:r>
        <w:t xml:space="preserve">9. References</w:t>
      </w:r>
    </w:p>
    <w:p>
      <w:pPr>
        <w:pStyle w:val="FirstParagraph"/>
      </w:pPr>
      <w:r>
        <w:t xml:space="preserve">brion2021limkinasesin pages 1-2; chatterjee2022structuralaspectsof pages 1-3; chatterjee2022structuralaspectsof pages 3-4; chatterjee2022structuralaspectsof pages 4-6; chatterjee2022structuralaspectsof pages 6-8; chatterjee2022structuralaspectsof pages 8-10; chatterjee2022structuralaspectsof pages 10-11; chatterjee2022structuralaspectsof pages 11-12; coumans2018cofilinandprofilin pages 2-4; estevez2016signalingmechanismsof pages 76-81; estevez2016signalingmechanismsof pages 81-85; fraboulet2022theroleof pages 1-2; fraboulet2022theroleof pages 13-15; fraboulet2022theroleof pages 17-17; pei2023computationalanalysisof pages 1-2; reys2022insilicoprofiling pages 29-32; shah2023limk2amultifaceted pages 1-3; southekal2021integrativeanalysisof pages 19-25; villalonga2023limkinaseslimk1 pages 2-6; villalonga2023limkinaseslimk1 pages 31-32; yaronbarir2024theintrinsicsubstrate pages 8-8.</w:t>
      </w:r>
    </w:p>
    <w:p>
      <w:pPr>
        <w:pStyle w:val="BodyText"/>
      </w:pPr>
      <w:r>
        <w:t xml:space="preserve">References</w:t>
      </w:r>
    </w:p>
    <w:p>
      <w:pPr>
        <w:numPr>
          <w:ilvl w:val="0"/>
          <w:numId w:val="1001"/>
        </w:numPr>
      </w:pPr>
      <w:r>
        <w:t xml:space="preserve">(brion2021limkinasesin pages 1-2): Régis Brion, Laura Regnier, Mathilde Mullard, Jérome Amiaud, Françoise Rédini, and Franck Verrecchia. Lim kinases in osteosarcoma development. Cells, 10:3542, Dec 2021. URL: https://doi.org/10.3390/cells10123542, doi:10.3390/cells10123542. This article has 10 citations and is from a peer-reviewed journal.</w:t>
      </w:r>
    </w:p>
    <w:p>
      <w:pPr>
        <w:numPr>
          <w:ilvl w:val="0"/>
          <w:numId w:val="1001"/>
        </w:numPr>
      </w:pPr>
      <w:r>
        <w:t xml:space="preserve">(chatterjee2022structuralaspectsof pages 1-3):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1"/>
        </w:numPr>
      </w:pPr>
      <w:r>
        <w:t xml:space="preserve">(chatterjee2022structuralaspectsof pages 10-11):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1"/>
        </w:numPr>
      </w:pPr>
      <w:r>
        <w:t xml:space="preserve">(chatterjee2022structuralaspectsof pages 11-12):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1"/>
        </w:numPr>
      </w:pPr>
      <w:r>
        <w:t xml:space="preserve">(chatterjee2022structuralaspectsof pages 3-4):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1"/>
        </w:numPr>
      </w:pPr>
      <w:r>
        <w:t xml:space="preserve">(chatterjee2022structuralaspectsof pages 4-6):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1"/>
        </w:numPr>
      </w:pPr>
      <w:r>
        <w:t xml:space="preserve">(chatterjee2022structuralaspectsof pages 6-8):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1"/>
        </w:numPr>
      </w:pPr>
      <w:r>
        <w:t xml:space="preserve">(chatterjee2022structuralaspectsof pages 8-10):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1"/>
        </w:numPr>
      </w:pPr>
      <w:r>
        <w:t xml:space="preserve">(coumans2018cofilinandprofilin pages 2-4): Joelle V. F. Coumans, Rhonda J. Davey, and Pierre D. J. Moens. Cofilin and profilin: partners in cancer aggressiveness. Biophysical Reviews, 10:1323-1335, Jul 2018. URL: https://doi.org/10.1007/s12551-018-0445-0, doi:10.1007/s12551-018-0445-0. This article has 64 citations and is from a peer-reviewed journal.</w:t>
      </w:r>
    </w:p>
    <w:p>
      <w:pPr>
        <w:numPr>
          <w:ilvl w:val="0"/>
          <w:numId w:val="1001"/>
        </w:numPr>
      </w:pPr>
      <w:r>
        <w:t xml:space="preserve">(estevez2016signalingmechanismsof pages 76-81): B Estevez. Signaling mechanisms of the glycoprotein ib-ix-v complex and role of lim kinase 1 in platelet activation. Unknown journal, 2016.</w:t>
      </w:r>
    </w:p>
    <w:p>
      <w:pPr>
        <w:numPr>
          <w:ilvl w:val="0"/>
          <w:numId w:val="1001"/>
        </w:numPr>
      </w:pPr>
      <w:r>
        <w:t xml:space="preserve">(estevez2016signalingmechanismsof pages 81-85): B Estevez. Signaling mechanisms of the glycoprotein ib-ix-v complex and role of lim kinase 1 in platelet activation. Unknown journal, 2016.</w:t>
      </w:r>
    </w:p>
    <w:p>
      <w:pPr>
        <w:numPr>
          <w:ilvl w:val="0"/>
          <w:numId w:val="1001"/>
        </w:numPr>
      </w:pPr>
      <w:r>
        <w:t xml:space="preserve">(estevez2016signalingmechanismsofa pages 76-81): B Estevez. Signaling mechanisms of the glycoprotein ib-ix-v complex and role of lim kinase 1 in platelet activation. Unknown journal, 2016.</w:t>
      </w:r>
    </w:p>
    <w:p>
      <w:pPr>
        <w:numPr>
          <w:ilvl w:val="0"/>
          <w:numId w:val="1001"/>
        </w:numPr>
      </w:pPr>
      <w:r>
        <w:t xml:space="preserve">(fraboulet2022theroleof pages 1-2): S Fraboulet and L Lafanechère. The role of lim kinases during development: a lens to get a glimpse of their implication in pathologies. cells 2022; 11: 403. Unknown journal, 2022.</w:t>
      </w:r>
    </w:p>
    <w:p>
      <w:pPr>
        <w:numPr>
          <w:ilvl w:val="0"/>
          <w:numId w:val="1001"/>
        </w:numPr>
      </w:pPr>
      <w:r>
        <w:t xml:space="preserve">(fraboulet2022theroleof pages 13-15): S Fraboulet and L Lafanechère. The role of lim kinases during development: a lens to get a glimpse of their implication in pathologies. cells 2022; 11: 403. Unknown journal, 2022.</w:t>
      </w:r>
    </w:p>
    <w:p>
      <w:pPr>
        <w:numPr>
          <w:ilvl w:val="0"/>
          <w:numId w:val="1001"/>
        </w:numPr>
      </w:pPr>
      <w:r>
        <w:t xml:space="preserve">(fraboulet2022theroleof pages 17-17): S Fraboulet and L Lafanechère. The role of lim kinases during development: a lens to get a glimpse of their implication in pathologies. cells 2022; 11: 403. Unknown journal, 2022.</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2025-05-22T19:23:01Z</dcterms:created>
  <dcterms:modified xsi:type="dcterms:W3CDTF">2025-05-22T19:23:01Z</dcterms:modified>
</cp:coreProperties>
</file>

<file path=docProps/custom.xml><?xml version="1.0" encoding="utf-8"?>
<Properties xmlns="http://schemas.openxmlformats.org/officeDocument/2006/custom-properties" xmlns:vt="http://schemas.openxmlformats.org/officeDocument/2006/docPropsVTypes"/>
</file>