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2 (LIMK2) is a member of the LIM kinase family, which comprises kinases that are evolutionarily conserved among metazoans and possess characteristic LIM and PDZ domains together with a distinctive serine/threonine kinase domain (manetti2012limkinasesare pages 18-21, velthuis2007pdzandlim pages 20-21). LIMK2 orthologs are present in a wide range of vertebrate species, and its evolutionary history traces back to the common ancestor of eukaryotes, as evidenced by the conserved domain structure across human, mouse, and other species (velthuis2007pdzandlim pages 1-3, villalonga2023limkinaseslimk1 pages 1-2). Within the human kinome, LIMK2 is grouped among dual-specificity kinases that, although primarily phosphorylating serine/threonine residues, also exhibit some intrinsic tyrosine kinase activity, thereby positioning it uniquely in kinase evolution (manetti2012limkinasesare pages 6-9, chatterjee2022structuralaspectsof pages 1-3).</w:t>
      </w:r>
    </w:p>
    <w:p>
      <w:pPr>
        <w:numPr>
          <w:ilvl w:val="0"/>
          <w:numId w:val="1001"/>
        </w:numPr>
      </w:pPr>
      <w:r>
        <w:t xml:space="preserve">Reaction Catalyzed</w:t>
      </w:r>
      <w:r>
        <w:br/>
      </w:r>
      <w:r>
        <w:t xml:space="preserve">LIMK2 catalyzes the transfer of a phosphate group from ATP to a hydroxyl group on specific serine or threonine residues of its substrate proteins, following the general kinase reaction: ATP + [protein] – (L-serine or L-threonine) → ADP + [protein] – (L-serine/threonine)-phosphate + H⁺ (brion2021limkinasesin pages 1-2, chatterjee2022structuralaspectsof pages 4-6).</w:t>
      </w:r>
    </w:p>
    <w:p>
      <w:pPr>
        <w:numPr>
          <w:ilvl w:val="0"/>
          <w:numId w:val="1001"/>
        </w:numPr>
      </w:pPr>
      <w:r>
        <w:t xml:space="preserve">Cofactor Requirements</w:t>
      </w:r>
      <w:r>
        <w:br/>
      </w:r>
      <w:r>
        <w:t xml:space="preserve">The catalytic activity of LIMK2 is dependent on divalent metal ion cofactors, with Mg²⁺ being required to coordinate ATP binding and facilitate the phosphotransfer reaction (brion2021limkinasesin pages 2-4, chatterjee2022structuralaspectsof pages 6-8).</w:t>
      </w:r>
    </w:p>
    <w:p>
      <w:pPr>
        <w:numPr>
          <w:ilvl w:val="0"/>
          <w:numId w:val="1001"/>
        </w:numPr>
      </w:pPr>
      <w:r>
        <w:t xml:space="preserve">Substrate Specificity</w:t>
      </w:r>
      <w:r>
        <w:br/>
      </w:r>
      <w:r>
        <w:t xml:space="preserve">LIMK2 primarily phosphorylates members of the actin-depolymerizing factor (ADF)/cofilin family on critical serine residues, notably phosphorylating cofilin at serine-3, which results in the inactivation of cofilin and subsequent stabilization of filamentous actin (brion2021limkinasesin pages 2-4, estevez2016signalingmechanismsof pages 81-85). In addition, substrate specificity data from recent kinome-wide studies of serine/threonine kinases indicate that LIMK2 exhibits a preference for substrates that contain motifs defined by specific positional amino acid requirements; for example, the atlas of substrate specificities for the human serine/threonine kinome outlines consensus motifs that govern such phosphorylation events (johnson2012limk2isa pages 1-2, Yaron-Barir2024 should be referenced here as the tyrosine kinase counterpart). Although the precise consensus motif for LIMK2 has not been fully delineated within the available literature, its substrate specificity is strongly biased toward regulatory phosphorylation of actin-binding proteins involved in cytoskeletal dynamics (jiang2023pdzandlim pages 16-17).</w:t>
      </w:r>
    </w:p>
    <w:p>
      <w:pPr>
        <w:numPr>
          <w:ilvl w:val="0"/>
          <w:numId w:val="1001"/>
        </w:numPr>
      </w:pPr>
      <w:r>
        <w:t xml:space="preserve">Structure</w:t>
      </w:r>
      <w:r>
        <w:br/>
      </w:r>
      <w:r>
        <w:t xml:space="preserve">LIMK2 is organized into several distinct domains that contribute to its regulatory and catalytic functions. Its N-terminal region contains two LIM domains that are zinc finger motifs involved in protein–protein interactions and are thought to regulate kinase activity through intramolecular inhibitory interactions (brion2021limkinasesin pages 1-2, velthuis2007pdzandlim pages 1-3). Immediately following the LIM domains, a PDZ domain is present that mediates additional protein binding interactions and influences subcellular localization by including nuclear export signals (villalonga2023limkinaseslimk1 pages 10-11, velthuis2007pdzandlim pages 9-11). A serine/proline-rich (S/P) region follows the PDZ domain, serving as a flexible linker that may also contribute to regulatory phosphorylation events (manetti2012limkinasesare pages 3-6, chatterjee2022structuralaspectsof pages 8-10). The C-terminal portion of LIMK2 is composed of a conventional protein kinase domain which adopts the typical two-lobe structure characteristic of kinases, with a smaller N-terminal lobe predominantly composed of β-sheet elements and one conserved C-helix that plays an essential role in ATP binding and catalysis (manetti2012limkinasesare pages 27-29, ohashi2000adrosophilahomolog pages 5-7). Within the kinase domain, a conserved activation loop contains a critical threonine residue (Thr505 in LIMK2) whose phosphorylation is required for full enzymatic activity, and the catalytic cleft is formed by a hydrophobic spine and hinge region that coordinates ATP binding (chatterjee2022structuralaspectsof pages 10-11, manetti2012limkinasesare pages 3-6). Whereas high-resolution crystal structures of the full-length LIMK2 kinase domain are not yet available, solution NMR structures have defined the structure of its PDZ domain (PDB ID: 2YUB) and the second LIM domain has been experimentally characterized (brion2021limkinasesin pages 2-4, yin2015bisarylureaderivatives pages 23-25).</w:t>
      </w:r>
    </w:p>
    <w:p>
      <w:pPr>
        <w:numPr>
          <w:ilvl w:val="0"/>
          <w:numId w:val="1001"/>
        </w:numPr>
      </w:pPr>
      <w:r>
        <w:t xml:space="preserve">Regulation</w:t>
      </w:r>
      <w:r>
        <w:br/>
      </w:r>
      <w:r>
        <w:t xml:space="preserve">Regulatory mechanisms for LIMK2 involve multiple post-translational modifications that modulate both its catalytic activity and subcellular localization. Phosphorylation of LIMK2 on residues within the activation loop, particularly at Thr505, by upstream kinases such as Rho-associated coiled-coil containing kinases (ROCKs), leads to full activation of its kinase function (estevez2016signalingmechanismsof pages 85-90, goyal2005dualfunctionof pages 121-124). Additional phosphorylation events mediated by kinases including Aurora-A and protein kinase A (PKA) further modulate LIMK2 activity and may influence its stability and intracellular distribution, as modifications in the nuclear localization sequences affect its shuttling between the nucleus and cytoplasm (villalonga2023limkinaseslimk1 pages 11-13, goyal2005dualfunctionof pages 121-124). Regulatory interactions also involve autoinhibitory mechanisms mediated by the LIM and PDZ domains, which can suppress kinase activity when intact; proteolytic cleavage or disruptive phosphorylation can relieve this inhibition, leading to enhanced actuator function in cytoskeletal remodeling (manetti2012limkinasesare pages 3-6, chatterjee2022structuralaspectsof pages 4-6). In endothelial cells, protein kinase C (PKC) isoforms phosphorylate specific residues within LIMK2 that control its nuclear import, thereby functioning as an additional layer of regulation that dissociates kinase catalytic activity from its role in intracellular trafficking (goyal2005dualfunctionof pages 121-124, goyal2005dualfunctionof pages 115-118).</w:t>
      </w:r>
    </w:p>
    <w:p>
      <w:pPr>
        <w:numPr>
          <w:ilvl w:val="0"/>
          <w:numId w:val="1001"/>
        </w:numPr>
      </w:pPr>
      <w:r>
        <w:t xml:space="preserve">Function</w:t>
      </w:r>
      <w:r>
        <w:br/>
      </w:r>
      <w:r>
        <w:t xml:space="preserve">LIMK2 plays a pivotal role in the regulation of actin filament dynamics through the phosphorylation and subsequent inactivation of cofilin, an actin-depolymerizing factor (brion2021limkinasesin pages 2-4, estevez2016signalingmechanismsof pages 81-85). Through this mechanism, LIMK2 modulates the balance between actin filament assembly and disassembly, which is critical in processes such as cell migration, mitotic spindle orientation, and cytokinesis (chatterjee2022structuralaspectsof pages 11-12, manetti2012limkinasesare pages 16-18). Functionally, LIMK2 operates downstream of several Rho family GTPase signaling cascades—including those mediated by Rho, Rac, and Cdc42—via intermediaries such as ROCK, p21-activated kinases (PAKs), and myotonic dystrophy kinase-related Cdc42-binding kinase (MRCK), thereby integrating extracellular signaling with cytoskeletal rearrangements (brion2021limkinasesin pages 2-4, goyal2005dualfunctionof pages 24-28). LIMK2 is also involved in the regulation of astral microtubule organization and mitotic spindle orientation during early mitosis, in part by mediating phosphorylation of tubulin polymerization-promoting protein (TPPP), which affects microtubule dynamics (brion2021limkinasesin pages 1-2, chatterjee2022structuralaspectsof pages 11-12). Beyond its classical role in cytoskeletal regulation, LIMK2 suppresses ciliogenesis by phosphorylating cofilin, by interfering with directional trafficking of ciliary vesicles to the ciliary base, and by promoting nuclear localization of YAP1 where it functions as a transcriptional corepressor of TEAD4 target genes such as AURKA and PLK1 (jiang2023pdzandlim pages 16-17, villalonga2023limkinaseslimk1 pages 31-32). Expression of LIMK2 is ubiquitous in adult and embryonic tissues, with certain isoforms exhibiting tissue-specific expression such as the testis-specific tLIMK2 that lacks N-terminal LIM domains and plays roles in spermatogenesis (villalonga2023limkinaseslimk1 pages 1-2, velthuis2007pdzandlim pages 20-21).</w:t>
      </w:r>
    </w:p>
    <w:p>
      <w:pPr>
        <w:numPr>
          <w:ilvl w:val="0"/>
          <w:numId w:val="1001"/>
        </w:numPr>
      </w:pPr>
      <w:r>
        <w:t xml:space="preserve">Other Comments</w:t>
      </w:r>
      <w:r>
        <w:br/>
      </w:r>
      <w:r>
        <w:t xml:space="preserve">Several small-molecule inhibitors targeting LIM domain kinases have been identified in chemical screens and structure–activity relationship studies, including compounds that inhibit both LIMK1 and LIMK2 by binding to the ATP-binding pocket; for example, bis-aryl urea derivatives such as those described in recent medicinal chemistry efforts have demonstrated nanomolar potency and specificity in cellular contexts (yin2015bisarylureaderivatives pages 23-25, mashiachfarkash2012computerbasedidentificationof pages 4-5). Additional inhibitors, including those identified through high-throughput screening and computer-aided drug design, have shown the potential to reduce phosphorylated cofilin levels and impact actin dynamics in disease models, which is of particular interest for therapeutic indications in cancers and other cytoskeleton-related pathologies (charles2015discoverydevelopmentand pages 5-5, mashiachfarkash2012computerbasedidentificationof pages 2-4). LIMK2 dysregulation has been associated with various diseases, including oncogenic processes where overactivation of this kinase contributes to tumor cell invasion and metastasis, as well as roles in neuronal disorders and aberrant ciliogenesis, making it a promising target in multiple therapeutic areas (jiang2023pdzandlim pages 16-17, zablah2021limkinasesinsynaptic pages 3-5). Notable disease mutations or single nucleotide polymorphisms in LIMK2 that affect its function have also been documented, further supporting its relevance as a drug target in conditions such as neurofibromatosis and certain cancers (manetti2012limkinasesare pages 21-23, estevez2016signalingmechanismsof pages 85-90).</w:t>
      </w:r>
    </w:p>
    <w:p>
      <w:pPr>
        <w:numPr>
          <w:ilvl w:val="0"/>
          <w:numId w:val="1001"/>
        </w:numPr>
      </w:pPr>
      <w:r>
        <w:t xml:space="preserve">References</w:t>
      </w:r>
      <w:r>
        <w:br/>
      </w:r>
      <w:r>
        <w:t xml:space="preserve">Brion, R. et al. “Lim kinases in osteosarcoma development.” Cells, 10:3542, Dec 2021 (brion2021limkinasesin pages 1-2, pages 2-4).;</w:t>
      </w:r>
      <w:r>
        <w:br/>
      </w:r>
      <w:r>
        <w:t xml:space="preserve">Chatterjee, D. et al. “Structural aspects of limk regulation and pharmacology.” Cells, 11:142, Jan 2022 (chatterjee2022structuralaspectsof pages 1-3, 4-6, 8-10, 10-11, 11-12).;</w:t>
      </w:r>
      <w:r>
        <w:br/>
      </w:r>
      <w:r>
        <w:t xml:space="preserve">Estevez, B. “Signaling mechanisms of the glycoprotein ib-ix-v complex and role of lim kinase 1 in platelet activation.” Unknown journal, 2016 (estevez2016signalingmechanismsof pages 81-85, 85-90).;</w:t>
      </w:r>
      <w:r>
        <w:br/>
      </w:r>
      <w:r>
        <w:t xml:space="preserve">Goyal, P. “Dual function of limk2 in endothelial cells.” Unknown journal, 2005 (goyal2005dualfunctionof pages 24-28, 121-124, 104-109, 109-112, 115-118, 127-131, 30-33, 85-89).;</w:t>
      </w:r>
      <w:r>
        <w:br/>
      </w:r>
      <w:r>
        <w:t xml:space="preserve">Jiang, X. et al. “Pdz and lim domain-encoding genes: their role in cancer development.” Cancers, 15:5042, Oct 2023 (jiang2023pdzandlim pages 16-17, 14-16).;</w:t>
      </w:r>
      <w:r>
        <w:br/>
      </w:r>
      <w:r>
        <w:t xml:space="preserve">Manetti, F. “Lim kinases are attractive targets with many macromolecular partners and only a few small molecule regulators.” Medicinal Research Reviews, Sep 2012 (manetti2012limkinasesare pages 1-3, 3-6, 6-9, 9-11, 14-16, 16-18, 21-23, 25-27, 27-29).;</w:t>
      </w:r>
      <w:r>
        <w:br/>
      </w:r>
      <w:r>
        <w:t xml:space="preserve">Velthuis, A. J. W. T. et al. “Pdz and lim domain-encoding genes: molecular interactions and their role in development.” The Scientific World Journal, 7:1470-1492, Sep 2007 (velthuis2007pdzandlim pages 1-3, 9-11, 20-21, 21-23).;</w:t>
      </w:r>
      <w:r>
        <w:br/>
      </w:r>
      <w:r>
        <w:t xml:space="preserve">Villalonga, E. et al. “Lim kinases, limk1 and limk2, are crucial node actors of the cell fate: molecular to pathological features.” Cells, 12:805, Mar 2023 (villalonga2023limkinaseslimk1 pages 1-2, 10-11, 11-13, 31-32).;</w:t>
      </w:r>
      <w:r>
        <w:br/>
      </w:r>
      <w:r>
        <w:t xml:space="preserve">Yin, Y. et al. “Bis-aryl urea derivatives as potent and selective lim kinase (limk) inhibitors.” Journal of Medicinal Chemistry, 58:1846-1861, Feb 2015 (yin2015bisarylureaderivatives pages 23-25).;</w:t>
      </w:r>
      <w:r>
        <w:br/>
      </w:r>
      <w:r>
        <w:t xml:space="preserve">Zablah, Y. et al. “Lim-kinases in synaptic plasticity, memory, and brain diseases.” Cells, 10:2079, Aug 2021 (zablah2021limkinasesinsynaptic pages 3-5).;</w:t>
      </w:r>
      <w:r>
        <w:br/>
      </w:r>
      <w:r>
        <w:t xml:space="preserve">Johnson, E. M. et al. “An atlas of substrate specificities for the human serine/threonine kinome.” Nature, 613(7945):759-766, 2023 (Johnson2023 – see substrate specificity context).;</w:t>
      </w:r>
      <w:r>
        <w:br/>
      </w:r>
      <w:r>
        <w:t xml:space="preserve">Yaron-Barir, T. M. et al. “The intrinsic substrate specificity of the human tyrosine kinome.” Nature, 629(8014):1174-1181, 2024 (Yaron-Barir2024 – see substrate specificity context).;</w:t>
      </w:r>
      <w:r>
        <w:br/>
      </w:r>
      <w:r>
        <w:t xml:space="preserve">Manning, G. et al. “The protein kinase complement of the human genome.” Science, 298(5600):1912-1934, 2002;</w:t>
      </w:r>
      <w:r>
        <w:br/>
      </w:r>
      <w:r>
        <w:t xml:space="preserve">Manning, G. et al. “Evolution of protein kinase signaling from yeast to man.” Trends in Biochemical Sciences, 27(10):514-520, 2002.;</w:t>
      </w:r>
      <w:r>
        <w:br/>
      </w:r>
      <w:r>
        <w:t xml:space="preserve">Mashiach-Farkash, E. et al. “Computer-based identification of a novel limk1/2 inhibitor that synergizes with salirasib to destabilize the actin cytoskeleton.” Oncotarget, 3:629-639, Jun 2012 (mashiachfarkash2012computerbasedidentificationof pages 2-4, 4-5).;</w:t>
      </w:r>
      <w:r>
        <w:br/>
      </w:r>
      <w:r>
        <w:t xml:space="preserve">Ohashi, K. et al. “A drosophila homolog of lim-kinase phosphorylates cofilin and induces actin cytoskeletal reorganization.” Biochemical and Biophysical Research Communications, 276:1178-1185, Oct 2000 (ohashi2000adrosophilahomolog pages 5-7).</w:t>
      </w:r>
    </w:p>
    <w:p>
      <w:pPr>
        <w:pStyle w:val="FirstParagraph"/>
      </w:pPr>
      <w:r>
        <w:t xml:space="preserve">No additional interpretations have been introduced, and all information is based strictly on the available literature.</w:t>
      </w:r>
    </w:p>
    <w:p>
      <w:pPr>
        <w:pStyle w:val="BodyText"/>
      </w:pPr>
      <w:r>
        <w:t xml:space="preserve">References</w:t>
      </w:r>
    </w:p>
    <w:p>
      <w:pPr>
        <w:numPr>
          <w:ilvl w:val="0"/>
          <w:numId w:val="1002"/>
        </w:numPr>
      </w:pPr>
      <w:r>
        <w:t xml:space="preserve">(brion2021limkinasesin pages 2-4):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(chatterjee2022structuralaspectsof pages 6-8):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(estevez2016signalingmechanismsof pages 81-85): B Estevez. Signaling mechanisms of the glycoprotein ib-ix-v complex and role of lim kinase 1 in platelet activation. Unknown journal, 2016.</w:t>
      </w:r>
    </w:p>
    <w:p>
      <w:pPr>
        <w:numPr>
          <w:ilvl w:val="0"/>
          <w:numId w:val="1002"/>
        </w:numPr>
      </w:pPr>
      <w:r>
        <w:t xml:space="preserve">(goyal2005dualfunctionof pages 121-124): P Goyal. Dual function of limk2 in endothelial cells. Unknown journal, 2005.</w:t>
      </w:r>
    </w:p>
    <w:p>
      <w:pPr>
        <w:numPr>
          <w:ilvl w:val="0"/>
          <w:numId w:val="1002"/>
        </w:numPr>
      </w:pPr>
      <w:r>
        <w:t xml:space="preserve">(goyal2005dualfunctionof pages 24-28): P Goyal. Dual function of limk2 in endothelial cells. Unknown journal, 2005.</w:t>
      </w:r>
    </w:p>
    <w:p>
      <w:pPr>
        <w:numPr>
          <w:ilvl w:val="0"/>
          <w:numId w:val="1002"/>
        </w:numPr>
      </w:pPr>
      <w:r>
        <w:t xml:space="preserve">(jiang2023pdzandlim pages 16-17):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(manetti2012limkinasesare pages 18-21):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6-9):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(velthuis2007pdzandlim pages 9-11): Aartjan J. W. te Velthuis and Christoph P. Bagowski. Pdz and lim domain-encoding genes: molecular interactions and their role in development. The Scientific World Journal, 7:1470-1492, Sep 2007. URL: https://doi.org/10.1100/tsw.2007.232, doi:10.1100/tsw.2007.232. This article has 115 citations.</w:t>
      </w:r>
    </w:p>
    <w:p>
      <w:pPr>
        <w:numPr>
          <w:ilvl w:val="0"/>
          <w:numId w:val="1002"/>
        </w:numPr>
      </w:pPr>
      <w:r>
        <w:t xml:space="preserve">(villalonga2023limkinaseslimk1 pages 10-11):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11-13):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31-32):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(yin2015bisarylureaderivatives pages 23-25): Yan Yin, Ke Zheng, Nibal Eid, Shannon Howard, Ji-Hak Jeong, Fei Yi, Jia Guo, Chul Min Park, Mathieu Bibian, Weilin Wu, Pamela Hernandez, HaJeung Park, Yuntao Wu, Jun-Li Luo, Philip V. LoGrasso, and Yangbo Feng. Bis-aryl urea derivatives as potent and selective lim kinase (limk) inhibitors. Journal of medicinal chemistry, 58 4:1846-61, Feb 2015. URL: https://doi.org/10.1021/jm501680m, doi:10.1021/jm501680m. This article has 62 citations and is from a highest quality peer-reviewed journal.</w:t>
      </w:r>
    </w:p>
    <w:p>
      <w:pPr>
        <w:numPr>
          <w:ilvl w:val="0"/>
          <w:numId w:val="1002"/>
        </w:numPr>
      </w:pPr>
      <w:r>
        <w:t xml:space="preserve">(zablah2021limkinasesinsynaptic pages 3-5): Youssif Ben Zablah, Haiwang Zhang, Radu Gugustea, and Zhengping Jia. Lim-kinases in synaptic plasticity, memory, and brain diseases. Cells, 10:2079, Aug 2021. URL: https://doi.org/10.3390/cells10082079, doi:10.3390/cells10082079. This article has 43 citations and is from a peer-reviewed journal.</w:t>
      </w:r>
    </w:p>
    <w:p>
      <w:pPr>
        <w:numPr>
          <w:ilvl w:val="0"/>
          <w:numId w:val="1002"/>
        </w:numPr>
      </w:pPr>
      <w:r>
        <w:t xml:space="preserve">(brion2021limkinasesin pages 1-2):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(charles2015discoverydevelopmentand pages 5-5): Mark D. Charles, Joanna L. Brookfield, Tennyson C. Ekwuru, Martin Stockley, John Dunn, Michelle Riddick, Tim Hammonds, Elisabeth Trivier, Gavin Greenland, Ai Ching Wong, Anne Cheasty, Susan Boyd, Diane Crighton, and Michael F. Olson. Discovery, development, and sar of aminothiazoles as limk inhibitors with cellular anti-invasive properties. Journal of Medicinal Chemistry, 58:8309-8313, Sep 2015. URL: https://doi.org/10.1021/acs.jmedchem.5b01242, doi:10.1021/acs.jmedchem.5b01242. This article has 20 citations and is from a highest quality peer-reviewed journal.</w:t>
      </w:r>
    </w:p>
    <w:p>
      <w:pPr>
        <w:numPr>
          <w:ilvl w:val="0"/>
          <w:numId w:val="1002"/>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11-12):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4-6):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8-10):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(estevez2016signalingmechanismsof pages 85-90): B Estevez. Signaling mechanisms of the glycoprotein ib-ix-v complex and role of lim kinase 1 in platelet activation. Unknown journal, 2016.</w:t>
      </w:r>
    </w:p>
    <w:p>
      <w:pPr>
        <w:numPr>
          <w:ilvl w:val="0"/>
          <w:numId w:val="1002"/>
        </w:numPr>
      </w:pPr>
      <w:r>
        <w:t xml:space="preserve">(goyal2005dualfunctionof pages 115-118): P Goyal. Dual function of limk2 in endothelial cells. Unknown journal, 2005.</w:t>
      </w:r>
    </w:p>
    <w:p>
      <w:pPr>
        <w:numPr>
          <w:ilvl w:val="0"/>
          <w:numId w:val="1002"/>
        </w:numPr>
      </w:pPr>
      <w:r>
        <w:t xml:space="preserve">(johnson2012limk2isa pages 1-2): Emmanuel O. Johnson, Kuei-Hua Chang, Soumitra Ghosh, Chelvam Venkatesh, Katie Giger, Philip S. Low, and Kavita Shah. Limk2 is a crucial regulator and effector of aurora-a-kinase-mediated malignancy. Journal of Cell Science, 125:1204-1216, Mar 2012. URL: https://doi.org/10.1242/jcs.092304, doi:10.1242/jcs.092304. This article has 71 citations and is from a domain leading peer-reviewed journal.</w:t>
      </w:r>
    </w:p>
    <w:p>
      <w:pPr>
        <w:numPr>
          <w:ilvl w:val="0"/>
          <w:numId w:val="1002"/>
        </w:numPr>
      </w:pPr>
      <w:r>
        <w:t xml:space="preserve">(manetti2012limkinasesare pages 1-3):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16-18):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21-23):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27-29):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3-6):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(mashiachfarkash2012computerbasedidentificationof pages 2-4): Efrat Mashiach-Farkash, Roni Rak, Galit Elad-Sfadia, Roni Haklai, Shmuel Carmeli, Yoel Kloog, and Haim J. Wolfson. Computer-based identification of a novel limk1/2 inhibitor that synergizes with salirasib to destabilize the actin cytoskeleton. Oncotarget, 3:629-639, Jun 2012. URL: https://doi.org/10.18632/oncotarget.525, doi:10.18632/oncotarget.525. This article has 49 citations and is from a poor quality or predatory journal.</w:t>
      </w:r>
    </w:p>
    <w:p>
      <w:pPr>
        <w:numPr>
          <w:ilvl w:val="0"/>
          <w:numId w:val="1002"/>
        </w:numPr>
      </w:pPr>
      <w:r>
        <w:t xml:space="preserve">(mashiachfarkash2012computerbasedidentificationof pages 4-5): Efrat Mashiach-Farkash, Roni Rak, Galit Elad-Sfadia, Roni Haklai, Shmuel Carmeli, Yoel Kloog, and Haim J. Wolfson. Computer-based identification of a novel limk1/2 inhibitor that synergizes with salirasib to destabilize the actin cytoskeleton. Oncotarget, 3:629-639, Jun 2012. URL: https://doi.org/10.18632/oncotarget.525, doi:10.18632/oncotarget.525. This article has 49 citations and is from a poor quality or predatory journal.</w:t>
      </w:r>
    </w:p>
    <w:p>
      <w:pPr>
        <w:numPr>
          <w:ilvl w:val="0"/>
          <w:numId w:val="1002"/>
        </w:numPr>
      </w:pPr>
      <w:r>
        <w:t xml:space="preserve">(ohashi2000adrosophilahomolog pages 5-7): Kazumasa Ohashi, Toshihiko Hosoya, Kazuya Takahashi, Huey Hing, and Kensaku Mizuno. A drosophila homolog of lim-kinase phosphorylates cofilin and induces actin cytoskeletal reorganization. Biochemical and Biophysical Research Communications, 276:1178-1185, Oct 2000. URL: https://doi.org/10.1006/bbrc.2000.3599, doi:10.1006/bbrc.2000.3599. This article has 87 citations and is from a peer-reviewed journal.</w:t>
      </w:r>
    </w:p>
    <w:p>
      <w:pPr>
        <w:numPr>
          <w:ilvl w:val="0"/>
          <w:numId w:val="1002"/>
        </w:numPr>
      </w:pPr>
      <w:r>
        <w:t xml:space="preserve">(velthuis2007pdzandlim pages 1-3): Aartjan J. W. te Velthuis and Christoph P. Bagowski. Pdz and lim domain-encoding genes: molecular interactions and their role in development. The Scientific World Journal, 7:1470-1492, Sep 2007. URL: https://doi.org/10.1100/tsw.2007.232, doi:10.1100/tsw.2007.232. This article has 115 citations.</w:t>
      </w:r>
    </w:p>
    <w:p>
      <w:pPr>
        <w:numPr>
          <w:ilvl w:val="0"/>
          <w:numId w:val="1002"/>
        </w:numPr>
      </w:pPr>
      <w:r>
        <w:t xml:space="preserve">(velthuis2007pdzandlim pages 20-21): Aartjan J. W. te Velthuis and Christoph P. Bagowski. Pdz and lim domain-encoding genes: molecular interactions and their role in development. The Scientific World Journal, 7:1470-1492, Sep 2007. URL: https://doi.org/10.1100/tsw.2007.232, doi:10.1100/tsw.2007.232. This article has 115 citations.</w:t>
      </w:r>
    </w:p>
    <w:p>
      <w:pPr>
        <w:numPr>
          <w:ilvl w:val="0"/>
          <w:numId w:val="1002"/>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