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eIF‑2‑alpha kinase GCN2 (gene EIF2AK4), also known as Eukaryotic translation initiation factor 2‑alpha kinase 4 or GCN2‑like protein, is a member of the eIF2α kinase family that also includes PERK, PKR, and HRI, each of which is responsible for phosphorylating eIF2α in response to distinct cellular stress signals (berlanga2016eif2αkinasesand pages 246-249). This kinase is evolutionarily ancient and highly conserved across eukaryotes; orthologs have been identified in unicellular organisms such as Saccharomyces cerevisiae as well as in multicellular organisms including plants, insects, and mammals (lokdarshi2022reviewemergingroles pages 3-4, li2009studyofgcn2a pages 17-21). Phylogenetic analyses indicate that GCN2 emerged early in eukaryotic evolution—potentially within or even before the Last Eukaryotic Common Ancestor (LECA)—which suggests that its function as a sensor of nutrient stress, particularly amino acid deprivation, was critical for early cellular survival (berlanga2016eif2αkinasesand pages 246-249, kwon2019tracingtheevolution pages 104-108). In contrast to other eIF2α kinases that evolved to sense stress signals such as viral double‐stranded RNA (PKR) or misfolded proteins in the endoplasmic reticulum (PERK), GCN2 is specialized for detecting imbalances in amino acid availability; it does so by binding uncharged tRNAs that accumulate during nutrient insufficiency (kwon2019tracingtheevolution pages 15-19, bruggenthies2021geneticandchemicald pages 9-11). This conservation and specialization are underscored by the fact that GCN2 exhibits a unique domain architecture, including an N‑terminal RWD domain, a pseudokinase domain, a canonical kinase domain, and a C‑terminal HisRS‑like domain, all of which contribute to its function as a metabolic stress sensor (bruggenthies2021geneticandchemicalb pages 9-11, lokdarshi2022reviewemergingroles pages 3-4). Together, these evolutionary features place GCN2 in a well‐defined clade among eIF2α kinases, with clear orthologs spanning fungi, plants, and animals, affirming its indispensable role in coordinating stress responses through translational regulation (kwon2019tracingtheevolution pages 108-112).</w:t>
      </w:r>
    </w:p>
    <w:bookmarkEnd w:id="9"/>
    <w:bookmarkStart w:id="10" w:name="reaction-catalyzed"/>
    <w:p>
      <w:pPr>
        <w:pStyle w:val="Heading2"/>
      </w:pPr>
      <w:r>
        <w:t xml:space="preserve">2. Reaction Catalyzed</w:t>
      </w:r>
    </w:p>
    <w:p>
      <w:pPr>
        <w:pStyle w:val="FirstParagraph"/>
      </w:pPr>
      <w:r>
        <w:t xml:space="preserve">GCN2 mediates a classic kinase reaction that is central to initiating the integrated stress response (ISR) under conditions of amino acid limitation. Specifically, GCN2 catalyzes the ATP‑dependent phosphorylation of the alpha subunit of eukaryotic translation initiation factor 2 (eIF2α) on a specific serine residue, most notably Ser51 in mammalian cells (carlson2023activationofgcn2 pages 15-21, carlson2023activationofgcn2c pages 15-21). The reaction can be formally described by the equation:</w:t>
      </w:r>
      <w:r>
        <w:br/>
      </w:r>
      <w:r>
        <w:t xml:space="preserve">  ATP + eIF2α → ADP + phospho‑eIF2α + H⁺</w:t>
      </w:r>
      <w:r>
        <w:br/>
      </w:r>
      <w:r>
        <w:t xml:space="preserve">In this reaction, GCN2 functions by transferring the gamma phosphate from ATP to the hydroxyl group of the serine residue, thereby converting eIF2α into its phosphorylated form (carlson2023activationofgcn2c pages 96-102, bruggenthies2021geneticandchemicale pages 9-11). This phosphorylation event is not merely a biochemical modification; it plays a pivotal regulatory role in translation control by converting eIF2α into a competitive inhibitor of its guanine nucleotide exchange factor, eIF2B. Under normal physiological conditions, eIF2B facilitates the recycling of eIF2•GDP into its active form, eIF2•GTP, a complex necessary for the initiation of protein synthesis. When eIF2α is phosphorylated, it binds to eIF2B with higher affinity, thereby limiting the availability of active eIF2 and resulting in a global attenuation of cap‑dependent translation (carlson2023activationofgcn2 pages 15-21, carlson2023activationofgcn2c pages 96-102). At the same time, this broad suppression of translation paradoxically promotes the selective translation of specific mRNAs, such as that encoding the transcription factor ATF4, through mechanisms that involve upstream open reading frames (uORFs) in their 5’ untranslated regions. The production of ATF4 subsequently leads to the upregulation of genes involved in amino acid biosynthesis, transport, and cellular stress adaptation (bruggenthies2021geneticandchemicald pages 9-11, carlson2023activationofgcn2b pages 15-21). Furthermore, the catalytic efficiency of GCN2 is tightly regulated and coupled with its sensor function, such that the kinase is activated only after conformational changes induced by the binding of uncharged tRNAs—a key signal of amino acid scarcity—thus ensuring that the phosphorylation event occurs only under appropriate stress conditions (carlson2023activationofgcn2c pages 15-21, bruggenthies2021geneticandchemicale pages 9-11).</w:t>
      </w:r>
    </w:p>
    <w:bookmarkEnd w:id="10"/>
    <w:bookmarkStart w:id="11" w:name="cofactor-requirements"/>
    <w:p>
      <w:pPr>
        <w:pStyle w:val="Heading2"/>
      </w:pPr>
      <w:r>
        <w:t xml:space="preserve">3. Cofactor Requirements</w:t>
      </w:r>
    </w:p>
    <w:p>
      <w:pPr>
        <w:pStyle w:val="FirstParagraph"/>
      </w:pPr>
      <w:r>
        <w:t xml:space="preserve">The enzymatic activity of GCN2, like many serine/threonine protein kinases, is dependent on specific cofactors in order to properly execute the phosphorylation of its substrate. Central to its catalytic mechanism is the requirement for ATP, which serves as the phosphate donor in the phosphorylation reaction (carlson2023activationofgcn2 pages 15-21, qiu2001thetrnabindingmoiety pages 14-14). Additionally, the presence of divalent cations is essential for stabilizing the interactions between ATP and the kinase; magnesium (Mg²⁺) is considered the primary cofactor in this regard (dar2006catalyticswitchingand pages 184-188, masson2019towardsamodel pages 1-2). Although experimental evidence suggests that other divalent metal ions such as manganese (Mn²⁺) might, under certain in vitro conditions, partially substitute for Mg²⁺, the physiological role of Mg²⁺ is undisputed given its ubiquitous role in kinase catalysis (carlson2023activationofgcn2c pages 96-102, masson2019towardsamodel pages 1-2). The coordinated binding of ATP and Mg²⁺ within the active site is mediated through specific structural motifs of the kinase domain, ensuring that the gamma-phosphate is correctly oriented with respect to the acceptor serine residue on eIF2α (carlson2023activationofgcn2 pages 15-21). No evidence from the current context suggests the involvement of additional non-metal cofactors in GCN2’s activity, indicating that its cofactor requirements align with the canonical features observed in other eukaryotic protein kinases (qiu2001thetrnabindingmoiety pages 14-14).</w:t>
      </w:r>
    </w:p>
    <w:bookmarkEnd w:id="11"/>
    <w:bookmarkStart w:id="12" w:name="substrate-specificity"/>
    <w:p>
      <w:pPr>
        <w:pStyle w:val="Heading2"/>
      </w:pPr>
      <w:r>
        <w:t xml:space="preserve">4. Substrate Specificity</w:t>
      </w:r>
    </w:p>
    <w:p>
      <w:pPr>
        <w:pStyle w:val="FirstParagraph"/>
      </w:pPr>
      <w:r>
        <w:t xml:space="preserve">GCN2 exhibits a high degree of substrate specificity that is critical for accurately modulating the integrated stress response (ISR). The sole well‐validated physiological substrate of GCN2 is the alpha subunit of eukaryotic translation initiation factor 2 (eIF2α), which is phosphorylated at a conserved serine residue in response to stresses such as amino acid deprivation (carlson2023activationofgcn2 pages 15-21, carlson2023activationofgcn2c pages 96-102). In mammalian cells, phosphorylation occurs primarily at Ser51—a modification that is essential for transforming eIF2α into an inhibitor of its guanine nucleotide exchange factor, eIF2B (carlson2023activationofgcn2c pages 96-102, carlson2023activationofgcn2 pages 15-21). The substrate specificity of GCN2 is determined largely by the structural integrity of its catalytic domain, which recognizes the three-dimensional configuration of eIF2α rather than simply a linear amino acid motif; however, the targeted serine residue is embedded within a conserved region that appears to be critical for function (qiu2001thetrnabindingmoiety pages 14-14, bruggenthies2021geneticandchemicald pages 9-11). Furthermore, GCN2’s specificity is reinforced by its regulatory HisRS‑like domain, which binds uncharged tRNAs; this binding induces conformational changes that not only activate the catalytic domain but also dynamically orient eIF2α for efficient phosphorylation (bruggenthies2021geneticandchemicald pages 9-11, carlson2023activationofgcn2 pages 15-21). Although no extended linear consensus sequence has been unambiguously defined for GCN2 substrates beyond the essential requirement for a target serine with proper spatial orientation, the available data indicate that the kinase is exquisitely tuned to selectively modify eIF2α under stress conditions (carlson2023activationofgcn2c pages 96-102, bruggenthies2021geneticandchemicale pages 9-11).</w:t>
      </w:r>
    </w:p>
    <w:bookmarkEnd w:id="12"/>
    <w:bookmarkStart w:id="13" w:name="structure"/>
    <w:p>
      <w:pPr>
        <w:pStyle w:val="Heading2"/>
      </w:pPr>
      <w:r>
        <w:t xml:space="preserve">5. Structure</w:t>
      </w:r>
    </w:p>
    <w:p>
      <w:pPr>
        <w:pStyle w:val="FirstParagraph"/>
      </w:pPr>
      <w:r>
        <w:t xml:space="preserve">GCN2 is a large and complex multidomain enzyme whose structure underpins its role both as a catalytic kinase and as a sensor of metabolic stress. The overall architecture of GCN2 can be segmented into several distinct regions, each contributing unique functional capabilities essential for its operation in response to amino acid deprivation.</w:t>
      </w:r>
    </w:p>
    <w:p>
      <w:pPr>
        <w:pStyle w:val="BodyText"/>
      </w:pPr>
      <w:r>
        <w:t xml:space="preserve">• At the N‑terminus, GCN2 contains an RWD domain that is primarily involved in facilitating protein–protein interactions. This domain mediates the binding to regulatory partners—notably GCN1—which tether GCN2 to translating ribosomes, thereby positioning the kinase in close proximity to its activating signals under stress conditions (bruggenthies2021geneticandchemicale pages 9-11, cardin2011functionofnck1 pages 61-66).</w:t>
      </w:r>
    </w:p>
    <w:p>
      <w:pPr>
        <w:pStyle w:val="BodyText"/>
      </w:pPr>
      <w:r>
        <w:t xml:space="preserve">• Adjacent to the RWD domain is a pseudokinase domain which, despite lacking full catalytic activity due to partial divergence of key residues, plays a critical regulatory role in modulating the activity of the adjacent active kinase domain. This pseudokinase region likely acts as a conformational rheostat, influencing domain–domain communication and thus fine-tuning the response to uncharged tRNA binding (bruggenthies2021geneticandchemicald pages 9-11, kwon2019tracingtheevolution pages 15-19).</w:t>
      </w:r>
    </w:p>
    <w:p>
      <w:pPr>
        <w:pStyle w:val="BodyText"/>
      </w:pPr>
      <w:r>
        <w:t xml:space="preserve">• Central to GCN2 is its functional kinase domain, which adopts the canonical bilobed structure typical of eukaryotic protein kinases. The N‑lobe, composed mainly of β‑strands, contains the crucial αC helix and an invariant lysine residue (K619) that is essential for ATP binding; this lysine forms a salt bridge with a conserved glutamic acid (E636) located on the αC helix, a configuration necessary for correct ATP orientation (carlson2023activationofgcn2 pages 15-21, padyana2005structuralbasisfor pages 2-3). Additionally, within this domain, the classic catalytic motifs such as HRD and DFG are present and are indispensable for the phosphotransfer reaction. Structural studies have confirmed that these motifs are preserved across diverse eukaryotic kinases, highlighting the evolutionary conservation of the catalytic mechanism (padyana2005structuralbasisfor pages 2-3, carlson2023activationofgcn2 pages 15-21).</w:t>
      </w:r>
    </w:p>
    <w:p>
      <w:pPr>
        <w:pStyle w:val="BodyText"/>
      </w:pPr>
      <w:r>
        <w:t xml:space="preserve">• C-terminal to the kinase domain is the HisRS‑like domain, which resembles the structure of histidyl‑tRNA synthetases yet lacks the enzymatic activity associated with aminoacylation. Instead, this domain is repurposed to bind uncharged tRNAs, thereby serving as the sensor for amino acid deprivation. The interaction of uncharged tRNAs with this domain induces conformational rearrangements that relieve autoinhibitory constraints on the kinase domain, effectively switching GCN2 from an inactive to an active state (qiu2001thetrnabindingmoiety pages 14-14, bruggenthies2021geneticandchemicale pages 9-11).</w:t>
      </w:r>
    </w:p>
    <w:p>
      <w:pPr>
        <w:pStyle w:val="BodyText"/>
      </w:pPr>
      <w:r>
        <w:t xml:space="preserve">• Finally, GCN2 possesses a C‑terminal dimerization domain, which is crucial for the formation of GCN2 homodimers. Dimerization facilitates trans‑autophosphorylation events between adjacent kinase domains and is essential for achieving full catalytic activity. Recent cryo‑electron microscopy and crystallographic analyses have revealed that the C‑terminal domain not only promotes dimerization but also plays a role in correctly orienting the catalytic cores relative to each other (soloriokirpichyan2024cryoemstructureof pages 10-14, soloriokirpichyan2024cryoemstructureof pages 23-28).</w:t>
      </w:r>
    </w:p>
    <w:p>
      <w:pPr>
        <w:pStyle w:val="BodyText"/>
      </w:pPr>
      <w:r>
        <w:t xml:space="preserve">This highly modular organization—spanning interaction domains, regulatory pseudokinase and sensing modules, and a catalytic core—allows GCN2 to integrate diverse inputs, such as ribosome association and tRNA charging status, with its enzymatic output. Key catalytic residues, such as K619 and E636, maintain the structural integrity of the kinase active site, while the interplay among the RWD, pseudokinase, kinase, and HisRS‑like domains ensures that activation occurs only under genuine stress conditions (dar2006catalyticswitchingand pages 184-188, padyana2005structuralbasisfor pages 2-3).</w:t>
      </w:r>
    </w:p>
    <w:bookmarkEnd w:id="13"/>
    <w:bookmarkStart w:id="14" w:name="regulation"/>
    <w:p>
      <w:pPr>
        <w:pStyle w:val="Heading2"/>
      </w:pPr>
      <w:r>
        <w:t xml:space="preserve">6. Regulation</w:t>
      </w:r>
    </w:p>
    <w:p>
      <w:pPr>
        <w:pStyle w:val="FirstParagraph"/>
      </w:pPr>
      <w:r>
        <w:t xml:space="preserve">The regulation of GCN2 is a multi‑layered process that intricately links the enzyme’s structural configuration to its function as a metabolic stress sensor. At the heart of this regulatory mechanism is the binding of uncharged tRNAs to the HisRS‑like domain, which serves as the primary cue indicating amino acid deprivation (qiu2001thetrnabindingmoiety pages 14-14, bruggenthies2021geneticandchemicale pages 9-11). Under conditions of sufficient amino acid availability, charged tRNAs prevail and GCN2 remains in an autoinhibited conformation, maintained in part by intramolecular interactions between its HisRS‑like, pseudokinase, and C‑terminal regions. However, when amino acids are limiting, deacylated tRNAs accumulate and bind to the HisRS‑like domain; this binding event triggers conformational shifts that interfere with the autoinhibitory contacts, thereby ‘unlocking’ the catalytic kinase domain (bruggenthies2021geneticandchemicald pages 9-11, qiu2001thetrnabindingmoiety pages 14-14).</w:t>
      </w:r>
    </w:p>
    <w:p>
      <w:pPr>
        <w:pStyle w:val="BodyText"/>
      </w:pPr>
      <w:r>
        <w:t xml:space="preserve">A pivotal aspect of GCN2 regulation is its association with the accessory protein GCN1 via its N‑terminal RWD domain. GCN1 acts as a ribosome‐associated adaptor that positions GCN2 in the vicinity of stalled or colliding ribosomes during translational stress, enhancing the sensitivity of the kinase to the accumulation of uncharged tRNAs (bruggenthies2021geneticandchemicalb pages 9-11, cardin2011functionofnck1 pages 61-66). The spatial proximity to the ribosome is crucial as it ensures that GCN2 is activated only when the downstream effects on translation warrant a full integrated stress response.</w:t>
      </w:r>
    </w:p>
    <w:p>
      <w:pPr>
        <w:pStyle w:val="BodyText"/>
      </w:pPr>
      <w:r>
        <w:t xml:space="preserve">Once the conformational constraints have been relieved, the kinase domain undergoes autophosphorylation events within its activation loop. For instance, phosphorylation of residues such as T899 is critical for stabilizing the active conformation of GCN2 and promoting inter‑monomer trans‑autophosphorylation within dimers (carlson2023activationofgcn2a pages 96-102, neill2024paradoxicalactivationof pages 5-8). This autophosphorylation not only amplifies the catalytic signal but also reinforces the dimeric association that is essential for sustained kinase activity.</w:t>
      </w:r>
    </w:p>
    <w:p>
      <w:pPr>
        <w:pStyle w:val="BodyText"/>
      </w:pPr>
      <w:r>
        <w:t xml:space="preserve">An additional layer of complexity in GCN2 regulation arises from its sensitivity to ATP‑competitive inhibitors. Studies have shown that certain inhibitors, designed to block the active site by mimicking ATP, can paradoxically induce a conformational state that leads to enhanced autophosphorylation and kinase activation rather than suppression (neill2024paradoxicalactivationof pages 13-16, carlson2023activationofgcn2a pages 96-102). This allosteric activation underscores the non‑linear nature of the enzyme’s regulatory mechanisms, where ligand binding can induce structural changes that offset inhibitory effects and even promote its activity under certain conditions. The paradoxical activation highlights inherent challenges in designing selective inhibitors for GCN2, necessitating approaches that consider its multifaceted regulatory circuitry (neill2024paradoxicalactivationof pages 11-13, bruggenthies2021geneticandchemicala pages 9-11).</w:t>
      </w:r>
    </w:p>
    <w:p>
      <w:pPr>
        <w:pStyle w:val="BodyText"/>
      </w:pPr>
      <w:r>
        <w:t xml:space="preserve">Overall, GCN2 regulation is achieved through a tightly interconnected network involving substrate (uncharged tRNA) sensing, ribosome tethering via GCN1, and dynamic autophosphorylation within the kinase domain—each of which contributes to the precise modulation of its catalytic output in response to amino acid scarcity (masson2019towardsamodel pages 1-2, bruggenthies2021geneticandchemicale pages 9-11).</w:t>
      </w:r>
    </w:p>
    <w:bookmarkEnd w:id="14"/>
    <w:bookmarkStart w:id="15" w:name="function"/>
    <w:p>
      <w:pPr>
        <w:pStyle w:val="Heading2"/>
      </w:pPr>
      <w:r>
        <w:t xml:space="preserve">7. Function</w:t>
      </w:r>
    </w:p>
    <w:p>
      <w:pPr>
        <w:pStyle w:val="FirstParagraph"/>
      </w:pPr>
      <w:r>
        <w:t xml:space="preserve">Functionally, GCN2 serves as the primary sensor of amino acid deprivation and an essential activator of the integrated stress response (ISR), which collectively enable cells to adapt to nutrient stress. In the presence of ample amino acids, the kinase is maintained in an autoinhibited state; however, under conditions of amino acid starvation, the accumulation of uncharged tRNAs binds directly to the HisRS‑like domain, thereby triggering a conformational change that activates the kinase domain (li2009studyofgcn2a pages 17-21, carlson2023activationofgcn2 pages 15-21). Once activated, GCN2 catalyzes the phosphorylation of eIF2α on Ser51. This modification converts eIF2α into a potent inhibitor of its guanine nucleotide exchange factor, eIF2B, resulting in a widespread reduction of cap‑dependent protein synthesis—a critical response that prevents further depletion of limited amino acid pools (carlson2023activationofgcn2c pages 96-102, bruggenthies2021geneticandchemicale pages 9-11).</w:t>
      </w:r>
    </w:p>
    <w:p>
      <w:pPr>
        <w:pStyle w:val="BodyText"/>
      </w:pPr>
      <w:r>
        <w:t xml:space="preserve">Paradoxically, while bulk protein synthesis is suppressed, the phosphorylation of eIF2α facilitates the selective translation of specific mRNAs that possess regulatory upstream open reading frames (uORFs). The transcription factor ATF4 is the principal example in mammalian systems; by allowing preferential translation of ATF4 mRNA under stress conditions, GCN2 indirectly triggers a transcriptional program that upregulates genes involved in amino acid biosynthesis, amino acid transport, redox homeostasis, and autophagy (carlson2023activationofgcn2a pages 15-21, lehman2015theroleofb pages 17-20). This ATF4‐dependent transcriptional response is crucial for rebalancing cellular metabolism and restoring homeostasis during prolonged periods of nutrient limitation.</w:t>
      </w:r>
    </w:p>
    <w:p>
      <w:pPr>
        <w:pStyle w:val="BodyText"/>
      </w:pPr>
      <w:r>
        <w:t xml:space="preserve">Beyond its canonical role in translational control, GCN2 is implicated in diverse cellular processes. For example, it contributes to cell cycle regulation by repressing the translation of cyclin D1 mRNA and promoting the translation of cell cycle inhibitors such as CDKN1A/p21 during stress conditions, thereby enforcing a cell cycle arrest that allows time for metabolic recovery (lehman2015theroleofa pages 17-20, bruggenthies2021geneticandchemicale pages 9-11). In addition, GCN2 has been linked to neural functions; it plays roles in synaptic plasticity, learning, and long‑term memory consolidation by regulating local protein synthesis in neurons (carlson2023activationofgcn2c pages 15-21, bruggenthies2021geneticandchemical pages 9-11). Moreover, GCN2 exerts antiviral effects: by impeding the translation of early viral mRNAs, it can restrict the replication of viruses such as alphavirus, thereby contributing to an innate antiviral response (carlson2023activationofgcn2c pages 96-102, bruggenthies2021geneticandchemicale pages 9-11).</w:t>
      </w:r>
    </w:p>
    <w:p>
      <w:pPr>
        <w:pStyle w:val="BodyText"/>
      </w:pPr>
      <w:r>
        <w:t xml:space="preserve">Additional functions attributed to GCN2 include modulating proapoptotic signaling in response to glucose deprivation and mediating aspects of the cellular response to ultraviolet irradiation through pathways that are independent of traditional stress-activated kinases (carlson2023activationofgcn2a pages 15-21, bruggenthies2021geneticandchemicale pages 9-11). Collectively, these diverse functions underscore GCN2’s role as an integrative hub that orchestrates cellular adaptation to metabolic stress by coordinating translational control, cell cycle progression, neural plasticity, and antiviral defenses.</w:t>
      </w:r>
    </w:p>
    <w:bookmarkEnd w:id="15"/>
    <w:bookmarkStart w:id="16" w:name="other-comments"/>
    <w:p>
      <w:pPr>
        <w:pStyle w:val="Heading2"/>
      </w:pPr>
      <w:r>
        <w:t xml:space="preserve">8. Other Comments</w:t>
      </w:r>
    </w:p>
    <w:p>
      <w:pPr>
        <w:pStyle w:val="FirstParagraph"/>
      </w:pPr>
      <w:r>
        <w:t xml:space="preserve">Recent investigations into GCN2 have unveiled several additional facets that broaden our understanding of its biological relevance and therapeutic potential. One intriguing discovery is the observation that certain ATP‑competitive kinase inhibitors, which are conventionally designed to curb kinase activity by occupying the ATP-binding pocket, can paradoxically trigger GCN2 activation when administered at low concentrations (neill2024paradoxicalactivationof pages 11-13, neill2024paradoxicalactivationof pages 13-16). These inhibitors appear to induce subtle conformational changes that mimic the natural activation process – including promoting autophosphorylation of the kinase domain – rather than simply blocking substrate access, thus inadvertently amplifying GCN2 activity and the downstream ISR (neill2024paradoxicalactivationof pages 5-8, carlson2023activationofgcn2a pages 96-102). This unexpected allosteric mode of activation has significant implications for drug development, as it highlights the necessity to carefully consider dose-dependent effects and allosteric coupling when designing inhibitors aimed at targeting stress-responsive kinases such as GCN2.</w:t>
      </w:r>
    </w:p>
    <w:p>
      <w:pPr>
        <w:pStyle w:val="BodyText"/>
      </w:pPr>
      <w:r>
        <w:t xml:space="preserve">Furthermore, mutations that disrupt conserved catalytic residues within the kinase domain or impair the integrity of the HisRS‑like domain have been shown to affect GCN2’s sensitivity to amino acid depletion. Such mutations can lead to abnormal ISR signaling and have been implicated in disease states ranging from metabolic disorders to neurodegenerative conditions and cancer (bruggenthies2021geneticandchemical pages 9-11, qiu2001thetrnabindingmoiety pages 14-14). These functional alterations underscore the critical need for detailed structural studies and precise biochemical characterizations to fully comprehend how specific mutations alter GCN2 activity and contribute to pathologies.</w:t>
      </w:r>
    </w:p>
    <w:p>
      <w:pPr>
        <w:pStyle w:val="BodyText"/>
      </w:pPr>
      <w:r>
        <w:t xml:space="preserve">Recent advances in structural biology, including high‑resolution cryo‑electron microscopy studies, have started to unravel the molecular details governing GCN2 dimerization and interdomain communication, particularly highlighting the importance of the C‑terminal dimerization domain and junction regions in facilitating trans‑autophosphorylation (soloriokirpichyan2024cryoemstructureof pages 10-14, soloriokirpichyan2024cryoemstructureof pages 23-28). Such insights are paving the way for the development of next‑generation inhibitors that could either block aberrant GCN2 activity or modulate its function more precisely through targeted protein degradation strategies, such as PROTACs. These emerging therapeutic approaches may prove to be particularly effective in oncological settings, where elevated GCN2 activity supports tumor cell survival under conditions of nutrient limitation, as well as in certain neurological disorders where persistent ISR activation is detrimental (neill2024paradoxicalactivationof pages 11-13, neill2024paradoxicalactivationof pages 13-16).</w:t>
      </w:r>
    </w:p>
    <w:p>
      <w:pPr>
        <w:pStyle w:val="BodyText"/>
      </w:pPr>
      <w:r>
        <w:t xml:space="preserve">Overall, the versatile regulatory mechanisms and broad spectrum of biological activities attributed to GCN2 render it a focal point in ongoing research. Understanding the balance between its physiological activation under stress and the pathological consequences of dysregulated ISR signaling remains a critical challenge, with the ultimate goal of leveraging this knowledge for therapeutic benefit.</w:t>
      </w:r>
    </w:p>
    <w:bookmarkEnd w:id="16"/>
    <w:bookmarkStart w:id="17" w:name="references"/>
    <w:p>
      <w:pPr>
        <w:pStyle w:val="Heading2"/>
      </w:pPr>
      <w:r>
        <w:t xml:space="preserve">9. References</w:t>
      </w:r>
    </w:p>
    <w:p>
      <w:pPr>
        <w:pStyle w:val="Compact"/>
        <w:numPr>
          <w:ilvl w:val="0"/>
          <w:numId w:val="1001"/>
        </w:numPr>
      </w:pPr>
      <w:r>
        <w:t xml:space="preserve">berlanga2016eif2αkinasesand pages 246-249</w:t>
      </w:r>
      <w:r>
        <w:br/>
      </w:r>
    </w:p>
    <w:p>
      <w:pPr>
        <w:pStyle w:val="Compact"/>
        <w:numPr>
          <w:ilvl w:val="0"/>
          <w:numId w:val="1001"/>
        </w:numPr>
      </w:pPr>
      <w:r>
        <w:t xml:space="preserve">bruggenthies2021geneticandchemical pages 9-11</w:t>
      </w:r>
      <w:r>
        <w:br/>
      </w:r>
    </w:p>
    <w:p>
      <w:pPr>
        <w:pStyle w:val="Compact"/>
        <w:numPr>
          <w:ilvl w:val="0"/>
          <w:numId w:val="1001"/>
        </w:numPr>
      </w:pPr>
      <w:r>
        <w:t xml:space="preserve">bruggenthies2021geneticandchemicala pages 9-11</w:t>
      </w:r>
      <w:r>
        <w:br/>
      </w:r>
    </w:p>
    <w:p>
      <w:pPr>
        <w:pStyle w:val="Compact"/>
        <w:numPr>
          <w:ilvl w:val="0"/>
          <w:numId w:val="1001"/>
        </w:numPr>
      </w:pPr>
      <w:r>
        <w:t xml:space="preserve">bruggenthies2021geneticandchemicalb pages 9-11</w:t>
      </w:r>
      <w:r>
        <w:br/>
      </w:r>
    </w:p>
    <w:p>
      <w:pPr>
        <w:pStyle w:val="Compact"/>
        <w:numPr>
          <w:ilvl w:val="0"/>
          <w:numId w:val="1001"/>
        </w:numPr>
      </w:pPr>
      <w:r>
        <w:t xml:space="preserve">bruggenthies2021geneticandchemicald pages 9-11</w:t>
      </w:r>
      <w:r>
        <w:br/>
      </w:r>
    </w:p>
    <w:p>
      <w:pPr>
        <w:pStyle w:val="Compact"/>
        <w:numPr>
          <w:ilvl w:val="0"/>
          <w:numId w:val="1001"/>
        </w:numPr>
      </w:pPr>
      <w:r>
        <w:t xml:space="preserve">bruggenthies2021geneticandchemicale pages 9-11</w:t>
      </w:r>
      <w:r>
        <w:br/>
      </w:r>
    </w:p>
    <w:p>
      <w:pPr>
        <w:pStyle w:val="Compact"/>
        <w:numPr>
          <w:ilvl w:val="0"/>
          <w:numId w:val="1001"/>
        </w:numPr>
      </w:pPr>
      <w:r>
        <w:t xml:space="preserve">cardin2011functionofnck1 pages 61-66</w:t>
      </w:r>
      <w:r>
        <w:br/>
      </w:r>
    </w:p>
    <w:p>
      <w:pPr>
        <w:pStyle w:val="Compact"/>
        <w:numPr>
          <w:ilvl w:val="0"/>
          <w:numId w:val="1001"/>
        </w:numPr>
      </w:pPr>
      <w:r>
        <w:t xml:space="preserve">cardin2011functionofnck1b pages 61-66</w:t>
      </w:r>
      <w:r>
        <w:br/>
      </w:r>
    </w:p>
    <w:p>
      <w:pPr>
        <w:pStyle w:val="Compact"/>
        <w:numPr>
          <w:ilvl w:val="0"/>
          <w:numId w:val="1001"/>
        </w:numPr>
      </w:pPr>
      <w:r>
        <w:t xml:space="preserve">carlson2023activationofgcn2 pages 15-21</w:t>
      </w:r>
      <w:r>
        <w:br/>
      </w:r>
    </w:p>
    <w:p>
      <w:pPr>
        <w:pStyle w:val="Compact"/>
        <w:numPr>
          <w:ilvl w:val="0"/>
          <w:numId w:val="1001"/>
        </w:numPr>
      </w:pPr>
      <w:r>
        <w:t xml:space="preserve">carlson2023activationofgcn2a pages 15-21</w:t>
      </w:r>
      <w:r>
        <w:br/>
      </w:r>
    </w:p>
    <w:p>
      <w:pPr>
        <w:pStyle w:val="Compact"/>
        <w:numPr>
          <w:ilvl w:val="0"/>
          <w:numId w:val="1001"/>
        </w:numPr>
      </w:pPr>
      <w:r>
        <w:t xml:space="preserve">carlson2023activationofgcn2a pages 96-102</w:t>
      </w:r>
      <w:r>
        <w:br/>
      </w:r>
    </w:p>
    <w:p>
      <w:pPr>
        <w:pStyle w:val="Compact"/>
        <w:numPr>
          <w:ilvl w:val="0"/>
          <w:numId w:val="1001"/>
        </w:numPr>
      </w:pPr>
      <w:r>
        <w:t xml:space="preserve">carlson2023activationofgcn2b pages 15-21</w:t>
      </w:r>
      <w:r>
        <w:br/>
      </w:r>
    </w:p>
    <w:p>
      <w:pPr>
        <w:pStyle w:val="Compact"/>
        <w:numPr>
          <w:ilvl w:val="0"/>
          <w:numId w:val="1001"/>
        </w:numPr>
      </w:pPr>
      <w:r>
        <w:t xml:space="preserve">carlson2023activationofgcn2c pages 15-21</w:t>
      </w:r>
      <w:r>
        <w:br/>
      </w:r>
    </w:p>
    <w:p>
      <w:pPr>
        <w:pStyle w:val="Compact"/>
        <w:numPr>
          <w:ilvl w:val="0"/>
          <w:numId w:val="1001"/>
        </w:numPr>
      </w:pPr>
      <w:r>
        <w:t xml:space="preserve">carlson2023activationofgcn2c pages 96-102</w:t>
      </w:r>
      <w:r>
        <w:br/>
      </w:r>
    </w:p>
    <w:p>
      <w:pPr>
        <w:pStyle w:val="Compact"/>
        <w:numPr>
          <w:ilvl w:val="0"/>
          <w:numId w:val="1001"/>
        </w:numPr>
      </w:pPr>
      <w:r>
        <w:t xml:space="preserve">dar2006catalyticswitchingand pages 184-188</w:t>
      </w:r>
      <w:r>
        <w:br/>
      </w:r>
    </w:p>
    <w:p>
      <w:pPr>
        <w:pStyle w:val="Compact"/>
        <w:numPr>
          <w:ilvl w:val="0"/>
          <w:numId w:val="1001"/>
        </w:numPr>
      </w:pPr>
      <w:r>
        <w:t xml:space="preserve">dey2012transcriptionalregulationof pages 19-24</w:t>
      </w:r>
      <w:r>
        <w:br/>
      </w:r>
    </w:p>
    <w:p>
      <w:pPr>
        <w:pStyle w:val="Compact"/>
        <w:numPr>
          <w:ilvl w:val="0"/>
          <w:numId w:val="1001"/>
        </w:numPr>
      </w:pPr>
      <w:r>
        <w:t xml:space="preserve">jochmann2014identificationofribosomal pages 19-24</w:t>
      </w:r>
      <w:r>
        <w:br/>
      </w:r>
    </w:p>
    <w:p>
      <w:pPr>
        <w:pStyle w:val="Compact"/>
        <w:numPr>
          <w:ilvl w:val="0"/>
          <w:numId w:val="1001"/>
        </w:numPr>
      </w:pPr>
      <w:r>
        <w:t xml:space="preserve">kwon2019tracingtheevolution pages 104-108</w:t>
      </w:r>
      <w:r>
        <w:br/>
      </w:r>
    </w:p>
    <w:p>
      <w:pPr>
        <w:pStyle w:val="Compact"/>
        <w:numPr>
          <w:ilvl w:val="0"/>
          <w:numId w:val="1001"/>
        </w:numPr>
      </w:pPr>
      <w:r>
        <w:t xml:space="preserve">kwon2019tracingtheevolution pages 108-112</w:t>
      </w:r>
      <w:r>
        <w:br/>
      </w:r>
    </w:p>
    <w:p>
      <w:pPr>
        <w:pStyle w:val="Compact"/>
        <w:numPr>
          <w:ilvl w:val="0"/>
          <w:numId w:val="1001"/>
        </w:numPr>
      </w:pPr>
      <w:r>
        <w:t xml:space="preserve">kwon2019tracingtheevolution pages 15-19</w:t>
      </w:r>
      <w:r>
        <w:br/>
      </w:r>
    </w:p>
    <w:p>
      <w:pPr>
        <w:pStyle w:val="Compact"/>
        <w:numPr>
          <w:ilvl w:val="0"/>
          <w:numId w:val="1001"/>
        </w:numPr>
      </w:pPr>
      <w:r>
        <w:t xml:space="preserve">lageix2014enhancedinteractionbetween pages 2-3</w:t>
      </w:r>
      <w:r>
        <w:br/>
      </w:r>
    </w:p>
    <w:p>
      <w:pPr>
        <w:pStyle w:val="Compact"/>
        <w:numPr>
          <w:ilvl w:val="0"/>
          <w:numId w:val="1001"/>
        </w:numPr>
      </w:pPr>
      <w:r>
        <w:t xml:space="preserve">lehman2015theroleofa pages 17-20</w:t>
      </w:r>
      <w:r>
        <w:br/>
      </w:r>
    </w:p>
    <w:p>
      <w:pPr>
        <w:pStyle w:val="Compact"/>
        <w:numPr>
          <w:ilvl w:val="0"/>
          <w:numId w:val="1001"/>
        </w:numPr>
      </w:pPr>
      <w:r>
        <w:t xml:space="preserve">lehman2015theroleofb pages 17-20</w:t>
      </w:r>
      <w:r>
        <w:br/>
      </w:r>
    </w:p>
    <w:p>
      <w:pPr>
        <w:pStyle w:val="Compact"/>
        <w:numPr>
          <w:ilvl w:val="0"/>
          <w:numId w:val="1001"/>
        </w:numPr>
      </w:pPr>
      <w:r>
        <w:t xml:space="preserve">li2009studyofgcn2a pages 17-21</w:t>
      </w:r>
      <w:r>
        <w:br/>
      </w:r>
    </w:p>
    <w:p>
      <w:pPr>
        <w:pStyle w:val="Compact"/>
        <w:numPr>
          <w:ilvl w:val="0"/>
          <w:numId w:val="1001"/>
        </w:numPr>
      </w:pPr>
      <w:r>
        <w:t xml:space="preserve">lokdarshi2022reviewemergingroles pages 3-4</w:t>
      </w:r>
      <w:r>
        <w:br/>
      </w:r>
    </w:p>
    <w:p>
      <w:pPr>
        <w:pStyle w:val="Compact"/>
        <w:numPr>
          <w:ilvl w:val="0"/>
          <w:numId w:val="1001"/>
        </w:numPr>
      </w:pPr>
      <w:r>
        <w:t xml:space="preserve">masson2019towardsamodel pages 1-2</w:t>
      </w:r>
      <w:r>
        <w:br/>
      </w:r>
    </w:p>
    <w:p>
      <w:pPr>
        <w:pStyle w:val="Compact"/>
        <w:numPr>
          <w:ilvl w:val="0"/>
          <w:numId w:val="1001"/>
        </w:numPr>
      </w:pPr>
      <w:r>
        <w:t xml:space="preserve">neill2024paradoxicalactivationof pages 11-13</w:t>
      </w:r>
      <w:r>
        <w:br/>
      </w:r>
    </w:p>
    <w:p>
      <w:pPr>
        <w:pStyle w:val="Compact"/>
        <w:numPr>
          <w:ilvl w:val="0"/>
          <w:numId w:val="1001"/>
        </w:numPr>
      </w:pPr>
      <w:r>
        <w:t xml:space="preserve">neill2024paradoxicalactivationof pages 13-16</w:t>
      </w:r>
      <w:r>
        <w:br/>
      </w:r>
    </w:p>
    <w:p>
      <w:pPr>
        <w:pStyle w:val="Compact"/>
        <w:numPr>
          <w:ilvl w:val="0"/>
          <w:numId w:val="1001"/>
        </w:numPr>
      </w:pPr>
      <w:r>
        <w:t xml:space="preserve">neill2024paradoxicalactivationof pages 5-8</w:t>
      </w:r>
      <w:r>
        <w:br/>
      </w:r>
    </w:p>
    <w:p>
      <w:pPr>
        <w:pStyle w:val="Compact"/>
        <w:numPr>
          <w:ilvl w:val="0"/>
          <w:numId w:val="1001"/>
        </w:numPr>
      </w:pPr>
      <w:r>
        <w:t xml:space="preserve">padyana2005structuralbasisfor pages 2-3</w:t>
      </w:r>
      <w:r>
        <w:br/>
      </w:r>
    </w:p>
    <w:p>
      <w:pPr>
        <w:pStyle w:val="Compact"/>
        <w:numPr>
          <w:ilvl w:val="0"/>
          <w:numId w:val="1001"/>
        </w:numPr>
      </w:pPr>
      <w:r>
        <w:t xml:space="preserve">qiu2001thetrnabindingmoiety pages 14-14</w:t>
      </w:r>
      <w:r>
        <w:br/>
      </w:r>
    </w:p>
    <w:p>
      <w:pPr>
        <w:pStyle w:val="Compact"/>
        <w:numPr>
          <w:ilvl w:val="0"/>
          <w:numId w:val="1001"/>
        </w:numPr>
      </w:pPr>
      <w:r>
        <w:t xml:space="preserve">soloriokirpichyan2024cryoemstructureof pages 10-14</w:t>
      </w:r>
      <w:r>
        <w:br/>
      </w:r>
    </w:p>
    <w:p>
      <w:pPr>
        <w:pStyle w:val="Compact"/>
        <w:numPr>
          <w:ilvl w:val="0"/>
          <w:numId w:val="1001"/>
        </w:numPr>
      </w:pPr>
      <w:r>
        <w:t xml:space="preserve">soloriokirpichyan2024cryoemstructureof pages 14-18</w:t>
      </w:r>
      <w:r>
        <w:br/>
      </w:r>
    </w:p>
    <w:p>
      <w:pPr>
        <w:pStyle w:val="Compact"/>
        <w:numPr>
          <w:ilvl w:val="0"/>
          <w:numId w:val="1001"/>
        </w:numPr>
      </w:pPr>
      <w:r>
        <w:t xml:space="preserve">soloriokirpichyan2024cryoemstructureof pages 23-28</w:t>
      </w:r>
      <w:r>
        <w:br/>
      </w:r>
    </w:p>
    <w:p>
      <w:pPr>
        <w:pStyle w:val="Compact"/>
        <w:numPr>
          <w:ilvl w:val="0"/>
          <w:numId w:val="1001"/>
        </w:numPr>
      </w:pPr>
      <w:r>
        <w:t xml:space="preserve">soloriokirpichyan2024cryoemstructureof pages 36-40</w:t>
      </w:r>
    </w:p>
    <w:p>
      <w:pPr>
        <w:pStyle w:val="FirstParagraph"/>
      </w:pPr>
      <w:r>
        <w:t xml:space="preserve">References</w:t>
      </w:r>
    </w:p>
    <w:p>
      <w:pPr>
        <w:numPr>
          <w:ilvl w:val="0"/>
          <w:numId w:val="1002"/>
        </w:numPr>
      </w:pPr>
      <w:r>
        <w:t xml:space="preserve">(berlanga2016eif2αkinasesand pages 246-249):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(bruggenthies2021geneticandchemical pages 9-11): JB Brüggenthies. Genetic and chemical perturbation of amino acid sensing by the gcn1-gcn2 pathway. Unknown journal, 2021.</w:t>
      </w:r>
    </w:p>
    <w:p>
      <w:pPr>
        <w:numPr>
          <w:ilvl w:val="0"/>
          <w:numId w:val="1002"/>
        </w:numPr>
      </w:pPr>
      <w:r>
        <w:t xml:space="preserve">(bruggenthies2021geneticandchemicala pages 9-11): JB Brüggenthies. Genetic and chemical perturbation of amino acid sensing by the gcn1-gcn2 pathway. Unknown journal, 2021.</w:t>
      </w:r>
    </w:p>
    <w:p>
      <w:pPr>
        <w:numPr>
          <w:ilvl w:val="0"/>
          <w:numId w:val="1002"/>
        </w:numPr>
      </w:pPr>
      <w:r>
        <w:t xml:space="preserve">(bruggenthies2021geneticandchemicalb pages 9-11): JB Brüggenthies. Genetic and chemical perturbation of amino acid sensing by the gcn1-gcn2 pathway. Unknown journal, 2021.</w:t>
      </w:r>
    </w:p>
    <w:p>
      <w:pPr>
        <w:numPr>
          <w:ilvl w:val="0"/>
          <w:numId w:val="1002"/>
        </w:numPr>
      </w:pPr>
      <w:r>
        <w:t xml:space="preserve">(bruggenthies2021geneticandchemicald pages 9-11): JB Brüggenthies. Genetic and chemical perturbation of amino acid sensing by the gcn1-gcn2 pathway. Unknown journal, 2021.</w:t>
      </w:r>
    </w:p>
    <w:p>
      <w:pPr>
        <w:numPr>
          <w:ilvl w:val="0"/>
          <w:numId w:val="1002"/>
        </w:numPr>
      </w:pPr>
      <w:r>
        <w:t xml:space="preserve">(bruggenthies2021geneticandchemicale pages 9-11): JB Brüggenthies. Genetic and chemical perturbation of amino acid sensing by the gcn1-gcn2 pathway. Unknown journal, 2021.</w:t>
      </w:r>
    </w:p>
    <w:p>
      <w:pPr>
        <w:numPr>
          <w:ilvl w:val="0"/>
          <w:numId w:val="1002"/>
        </w:numPr>
      </w:pPr>
      <w:r>
        <w:t xml:space="preserve">(cardin2011functionofnck1 pages 61-66): E Cardin. Function of nck-1 adaptor protein as modulator of eif2alpha phosphorylation by specific eif2alpha kinases and pkr activity. Unknown journal, 2011.</w:t>
      </w:r>
    </w:p>
    <w:p>
      <w:pPr>
        <w:numPr>
          <w:ilvl w:val="0"/>
          <w:numId w:val="1002"/>
        </w:numPr>
      </w:pPr>
      <w:r>
        <w:t xml:space="preserve">(cardin2011functionofnck1b pages 61-66): E Cardin. Function of nck-1 adaptor protein as modulator of eif2alpha phosphorylation by specific eif2alpha kinases and pkr activity. Unknown journal, 2011.</w:t>
      </w:r>
    </w:p>
    <w:p>
      <w:pPr>
        <w:numPr>
          <w:ilvl w:val="0"/>
          <w:numId w:val="1002"/>
        </w:numPr>
      </w:pPr>
      <w:r>
        <w:t xml:space="preserve">(carlson2023activationofgcn2 pages 15-21): KR Carlson. Activation of gcn2 by pharmacological agents designed to be inhibitors. Unknown journal, 2023.</w:t>
      </w:r>
    </w:p>
    <w:p>
      <w:pPr>
        <w:numPr>
          <w:ilvl w:val="0"/>
          <w:numId w:val="1002"/>
        </w:numPr>
      </w:pPr>
      <w:r>
        <w:t xml:space="preserve">(carlson2023activationofgcn2a pages 15-21): KR Carlson. Activation of gcn2 by pharmacological agents designed to be inhibitors. Unknown journal, 2023.</w:t>
      </w:r>
    </w:p>
    <w:p>
      <w:pPr>
        <w:numPr>
          <w:ilvl w:val="0"/>
          <w:numId w:val="1002"/>
        </w:numPr>
      </w:pPr>
      <w:r>
        <w:t xml:space="preserve">(carlson2023activationofgcn2a pages 96-102): KR Carlson. Activation of gcn2 by pharmacological agents designed to be inhibitors. Unknown journal, 2023.</w:t>
      </w:r>
    </w:p>
    <w:p>
      <w:pPr>
        <w:numPr>
          <w:ilvl w:val="0"/>
          <w:numId w:val="1002"/>
        </w:numPr>
      </w:pPr>
      <w:r>
        <w:t xml:space="preserve">(carlson2023activationofgcn2b pages 15-21): KR Carlson. Activation of gcn2 by pharmacological agents designed to be inhibitors. Unknown journal, 2023.</w:t>
      </w:r>
    </w:p>
    <w:p>
      <w:pPr>
        <w:numPr>
          <w:ilvl w:val="0"/>
          <w:numId w:val="1002"/>
        </w:numPr>
      </w:pPr>
      <w:r>
        <w:t xml:space="preserve">(carlson2023activationofgcn2c pages 15-21): KR Carlson. Activation of gcn2 by pharmacological agents designed to be inhibitors. Unknown journal, 2023.</w:t>
      </w:r>
    </w:p>
    <w:p>
      <w:pPr>
        <w:numPr>
          <w:ilvl w:val="0"/>
          <w:numId w:val="1002"/>
        </w:numPr>
      </w:pPr>
      <w:r>
        <w:t xml:space="preserve">(carlson2023activationofgcn2c pages 96-102): KR Carlson. Activation of gcn2 by pharmacological agents designed to be inhibitors. Unknown journal, 2023.</w:t>
      </w:r>
    </w:p>
    <w:p>
      <w:pPr>
        <w:numPr>
          <w:ilvl w:val="0"/>
          <w:numId w:val="1002"/>
        </w:numPr>
      </w:pPr>
      <w:r>
        <w:t xml:space="preserve">(dar2006catalyticswitchingand pages 184-188): AC Dar. Catalytic switching and substrate recognition mechanisms of the rna dependent protein kinase pkr. Unknown journal, 2006.</w:t>
      </w:r>
    </w:p>
    <w:p>
      <w:pPr>
        <w:numPr>
          <w:ilvl w:val="0"/>
          <w:numId w:val="1002"/>
        </w:numPr>
      </w:pPr>
      <w:r>
        <w:t xml:space="preserve">(dey2012transcriptionalregulationof pages 19-24): S Dey. Transcriptional regulation of atf4 is critical for controlling the integrated stress response during eif2 phosphorylation. Unknown journal, 2012.</w:t>
      </w:r>
    </w:p>
    <w:p>
      <w:pPr>
        <w:numPr>
          <w:ilvl w:val="0"/>
          <w:numId w:val="1002"/>
        </w:numPr>
      </w:pPr>
      <w:r>
        <w:t xml:space="preserve">(jochmann2014identificationofribosomal pages 19-24): VA Jochmann. Identification of ribosomal proteins that are necessary for fully activating the protein kinase gcn2: a thesis presented in partial fulfilment of the requirements for the …. Unknown journal, 2014.</w:t>
      </w:r>
    </w:p>
    <w:p>
      <w:pPr>
        <w:numPr>
          <w:ilvl w:val="0"/>
          <w:numId w:val="1002"/>
        </w:numPr>
      </w:pPr>
      <w:r>
        <w:t xml:space="preserve">(kwon2019tracingtheevolution pages 104-108): HA Kwon. Tracing the evolution of the tyrosine kinome from sequence to function. Unknown journal, 2019.</w:t>
      </w:r>
    </w:p>
    <w:p>
      <w:pPr>
        <w:numPr>
          <w:ilvl w:val="0"/>
          <w:numId w:val="1002"/>
        </w:numPr>
      </w:pPr>
      <w:r>
        <w:t xml:space="preserve">(kwon2019tracingtheevolution pages 108-112): HA Kwon. Tracing the evolution of the tyrosine kinome from sequence to function. Unknown journal, 2019.</w:t>
      </w:r>
    </w:p>
    <w:p>
      <w:pPr>
        <w:numPr>
          <w:ilvl w:val="0"/>
          <w:numId w:val="1002"/>
        </w:numPr>
      </w:pPr>
      <w:r>
        <w:t xml:space="preserve">(kwon2019tracingtheevolution pages 15-19): HA Kwon. Tracing the evolution of the tyrosine kinome from sequence to function. Unknown journal, 2019.</w:t>
      </w:r>
    </w:p>
    <w:p>
      <w:pPr>
        <w:numPr>
          <w:ilvl w:val="0"/>
          <w:numId w:val="1002"/>
        </w:numPr>
      </w:pPr>
      <w:r>
        <w:t xml:space="preserve">(lageix2014enhancedinteractionbetween pages 2-3): Sebastien Lageix, Stefan Rothenburg, Thomas E. Dever, and Alan G. Hinnebusch. Enhanced interaction between pseudokinase and kinase domains in gcn2 stimulates eif2α phosphorylation in starved cells. PLoS Genetics, 10:e1004326, May 2014. URL: https://doi.org/10.1371/journal.pgen.1004326, doi:10.1371/journal.pgen.1004326. This article has 53 citations and is from a domain leading peer-reviewed journal.</w:t>
      </w:r>
    </w:p>
    <w:p>
      <w:pPr>
        <w:numPr>
          <w:ilvl w:val="0"/>
          <w:numId w:val="1002"/>
        </w:numPr>
      </w:pPr>
      <w:r>
        <w:t xml:space="preserve">(lehman2015theroleofa pages 17-20): SL Lehman. The role of the integrated stress response kinase gcn2 in cell cycle regulation and tumorigenesis. Unknown journal, 2015.</w:t>
      </w:r>
    </w:p>
    <w:p>
      <w:pPr>
        <w:numPr>
          <w:ilvl w:val="0"/>
          <w:numId w:val="1002"/>
        </w:numPr>
      </w:pPr>
      <w:r>
        <w:t xml:space="preserve">(lehman2015theroleofb pages 17-20): SL Lehman. The role of the integrated stress response kinase gcn2 in cell cycle regulation and tumorigenesis. Unknown journal, 2015.</w:t>
      </w:r>
    </w:p>
    <w:p>
      <w:pPr>
        <w:numPr>
          <w:ilvl w:val="0"/>
          <w:numId w:val="1002"/>
        </w:numPr>
      </w:pPr>
      <w:r>
        <w:t xml:space="preserve">(li2009studyofgcn2a pages 17-21): MW Li. Study of gcn2 in arabidopsis thaliana. Unknown journal, 2009.</w:t>
      </w:r>
    </w:p>
    <w:p>
      <w:pPr>
        <w:numPr>
          <w:ilvl w:val="0"/>
          <w:numId w:val="1002"/>
        </w:numPr>
      </w:pPr>
      <w:r>
        <w:t xml:space="preserve">(lokdarshi2022reviewemergingroles pages 3-4): Ansul Lokdarshi and Albrecht G. von Arnim. Review: emerging roles of the signaling network of the protein kinase gcn2 in the plant stress response. Plant Science, 320:111280, Jul 2022. URL: https://doi.org/10.1016/j.plantsci.2022.111280, doi:10.1016/j.plantsci.2022.111280. This article has 16 citations and is from a peer-reviewed journal.</w:t>
      </w:r>
    </w:p>
    <w:p>
      <w:pPr>
        <w:numPr>
          <w:ilvl w:val="0"/>
          <w:numId w:val="1002"/>
        </w:numPr>
      </w:pPr>
      <w:r>
        <w:t xml:space="preserve">(masson2019towardsamodel pages 1-2): Glenn R. Masson. Towards a model of gcn2 activation. Biochemical Society Transactions, 47:1481-1488, Oct 2019. URL: https://doi.org/10.1042/bst20190331, doi:10.1042/bst20190331. This article has 136 citations and is from a peer-reviewed journal.</w:t>
      </w:r>
    </w:p>
    <w:p>
      <w:pPr>
        <w:numPr>
          <w:ilvl w:val="0"/>
          <w:numId w:val="1002"/>
        </w:numPr>
      </w:pPr>
      <w:r>
        <w:t xml:space="preserve">(neill2024paradoxicalactivationof pages 11-13): Graham Neill, Vanesa Vinciauskaite, Marilyn Paul, Rebecca Gilley, Simon J. Cook, and Glenn R. Masson. Paradoxical activation of gcn2 by atp-competitive inhibitors via allosteric activation and autophosphorylation. BioRxiv, Aug 2024. URL: https://doi.org/10.1101/2024.08.14.606984, doi:10.1101/2024.08.14.606984. This article has 1 citations.</w:t>
      </w:r>
    </w:p>
    <w:p>
      <w:pPr>
        <w:numPr>
          <w:ilvl w:val="0"/>
          <w:numId w:val="1002"/>
        </w:numPr>
      </w:pPr>
      <w:r>
        <w:t xml:space="preserve">(neill2024paradoxicalactivationof pages 13-16): Graham Neill, Vanesa Vinciauskaite, Marilyn Paul, Rebecca Gilley, Simon J. Cook, and Glenn R. Masson. Paradoxical activation of gcn2 by atp-competitive inhibitors via allosteric activation and autophosphorylation. BioRxiv, Aug 2024. URL: https://doi.org/10.1101/2024.08.14.606984, doi:10.1101/2024.08.14.606984. This article has 1 citations.</w:t>
      </w:r>
    </w:p>
    <w:p>
      <w:pPr>
        <w:numPr>
          <w:ilvl w:val="0"/>
          <w:numId w:val="1002"/>
        </w:numPr>
      </w:pPr>
      <w:r>
        <w:t xml:space="preserve">(neill2024paradoxicalactivationof pages 5-8): Graham Neill, Vanesa Vinciauskaite, Marilyn Paul, Rebecca Gilley, Simon J. Cook, and Glenn R. Masson. Paradoxical activation of gcn2 by atp-competitive inhibitors via allosteric activation and autophosphorylation. BioRxiv, Aug 2024. URL: https://doi.org/10.1101/2024.08.14.606984, doi:10.1101/2024.08.14.606984. This article has 1 citations.</w:t>
      </w:r>
    </w:p>
    <w:p>
      <w:pPr>
        <w:numPr>
          <w:ilvl w:val="0"/>
          <w:numId w:val="1002"/>
        </w:numPr>
      </w:pPr>
      <w:r>
        <w:t xml:space="preserve">(padyana2005structuralbasisfor pages 2-3): Anil K. Padyana, Hongfang Qiu, Antonina Roll-Mecak, Alan G. Hinnebusch, and Stephen K. Burley. Structural basis for autoinhibition and mutational activation of eukaryotic initiation factor 2α protein kinase gcn2*[boxs]. Journal of Biological Chemistry, 280:29289-29299, Aug 2005. URL: https://doi.org/10.1074/jbc.m504096200, doi:10.1074/jbc.m504096200. This article has 146 citations and is from a domain leading peer-reviewed journal.</w:t>
      </w:r>
    </w:p>
    <w:p>
      <w:pPr>
        <w:numPr>
          <w:ilvl w:val="0"/>
          <w:numId w:val="1002"/>
        </w:numPr>
      </w:pPr>
      <w:r>
        <w:t xml:space="preserve">(qiu2001thetrnabindingmoiety pages 14-14): Hongfang Qiu, Jinsheng Dong, Cuihua Hu, Christopher S. Francklyn, and Alan G. Hinnebusch. The trna-binding moiety in gcn2 contains a dimerization domain that interacts with the kinase domain and is required for trna binding and kinase activation. The EMBO Journal, 20:1425-1438, Mar 2001. URL: https://doi.org/10.1093/emboj/20.6.1425, doi:10.1093/emboj/20.6.1425. This article has 139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2025-05-22T17:59:03Z</dcterms:created>
  <dcterms:modified xsi:type="dcterms:W3CDTF">2025-05-22T17:59:03Z</dcterms:modified>
</cp:coreProperties>
</file>

<file path=docProps/custom.xml><?xml version="1.0" encoding="utf-8"?>
<Properties xmlns="http://schemas.openxmlformats.org/officeDocument/2006/custom-properties" xmlns:vt="http://schemas.openxmlformats.org/officeDocument/2006/docPropsVTypes"/>
</file>