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LIM domain kinase 2 (LIMK2) is a member of the LIM kinase family that consists of two main paralogs, LIMK1 and LIMK2, which share approximately 50% overall sequence identity and about 70% identity in their kinase domains (villalonga2023limkinaseslimk1 pages 1-2, salah2019lessonsfromlimk1 pages 1-2). LIMK2 is classified within the tyrosine kinase‐like (TKL) group of the human kinome and has been further assigned to the LIMK subfamily, emphasizing its specialized structure and function distinct from classical serine/threonine kinases despite retaining predominantly serine phosphorylation specificity (shah2023limk2amultifaceted pages 1-3). Phylogenetically, orthologs of LIMK2 have been identified across vertebrates and some invertebrate species – reflecting an evolutionarily conserved role in actin cytoskeletal dynamics and cellular motility – although LIM kinases are absent in yeast, nematodes, and plants (prunier2017limkinasescofilin pages 10-11, fraboulet2022theroleof pages 1-2). Thus, LIMK2 forms part of an evolutionarily ancient regulatory module that arose early in metazoan evolution and has been preserved because of its vital function in linking Rho GTPase signals to cytoskeletal reorganization (villalonga2023limkinaseslimk1 pages 1-2, salah2019lessonsfromlimk1 pages 1-2).</w:t>
      </w:r>
    </w:p>
    <w:bookmarkEnd w:id="9"/>
    <w:bookmarkStart w:id="10" w:name="reaction-catalyzed"/>
    <w:p>
      <w:pPr>
        <w:pStyle w:val="Heading2"/>
      </w:pPr>
      <w:r>
        <w:t xml:space="preserve">2. Reaction Catalyzed</w:t>
      </w:r>
    </w:p>
    <w:p>
      <w:pPr>
        <w:pStyle w:val="FirstParagraph"/>
      </w:pPr>
      <w:r>
        <w:t xml:space="preserve">LIMK2 catalyzes the transfer of a phosphate group from adenosine triphosphate (ATP) to specific serine (and in some cases tyrosine) residues on its protein substrates. The prominent reaction involves phosphorylation of the actin-depolymerizing factor cofilin, where the hydroxyl group of the target serine residue is converted to a phosphate ester, inactivating cofilin’s ability to sever actin filaments (prunier2017limkinasescofilin pages 10-11, shah2023limk2amultifaceted pages 1-3). In addition to cofilin, LIMK2 has been reported to phosphorylate proteins such as myelin basic protein (MBP) and histone in vitro, as well as components involved in microtubule organization such as TPPP, linking its activity to diverse cellular processes including modulation of astral microtubules and mitotic spindle orientation (Information; jiang2023pdzandlim pages 16-17, berabez2022limkinasespromising pages 3-5). In essence, the generalized catalytic reaction can be summarized as:</w:t>
      </w:r>
      <w:r>
        <w:br/>
      </w:r>
      <w:r>
        <w:t xml:space="preserve">  ATP + [protein]-(L-serine or L-threonine) → ADP + [protein]-(phospho-L-serine/threonine) + H⁺</w:t>
      </w:r>
      <w:r>
        <w:br/>
      </w:r>
      <w:r>
        <w:t xml:space="preserve">This reaction underpins LIMK2’s role in remodeling the actin cytoskeleton by modulating the phosphorylation status of key actin regulatory proteins (prunier2017limkinasescofilin pages 10-11, shah2023limk2amultifaceted pages 1-3).</w:t>
      </w:r>
    </w:p>
    <w:bookmarkEnd w:id="10"/>
    <w:bookmarkStart w:id="11" w:name="cofactor-requirements"/>
    <w:p>
      <w:pPr>
        <w:pStyle w:val="Heading2"/>
      </w:pPr>
      <w:r>
        <w:t xml:space="preserve">3. Cofactor Requirements</w:t>
      </w:r>
    </w:p>
    <w:p>
      <w:pPr>
        <w:pStyle w:val="FirstParagraph"/>
      </w:pPr>
      <w:r>
        <w:t xml:space="preserve">Like other serine/threonine kinases, LIMK2 requires ATP as the phosphate donor for its catalytic activity. In addition, divalent metal ions such as Mg²⁺ are typically essential as cofactors to stabilize the phosphate groups on ATP and to facilitate the correct orientation of substrates during phosphoryl transfer (berabez2022limkinasespromising pages 1-3, shah2023limk2amultifaceted pages 1-3). Although explicit cofactor studies for LIMK2 were not detailed in the provided texts, it is standard for kinases of this type to rely on such metal ions, most commonly magnesium, to support catalysis (Information; ribba2022theroleof pages 4-4).</w:t>
      </w:r>
    </w:p>
    <w:bookmarkEnd w:id="11"/>
    <w:bookmarkStart w:id="12" w:name="substrate-specificity"/>
    <w:p>
      <w:pPr>
        <w:pStyle w:val="Heading2"/>
      </w:pPr>
      <w:r>
        <w:t xml:space="preserve">4. Substrate Specificity</w:t>
      </w:r>
    </w:p>
    <w:p>
      <w:pPr>
        <w:pStyle w:val="FirstParagraph"/>
      </w:pPr>
      <w:r>
        <w:t xml:space="preserve">The physiological substrate most prominently targeted by LIMK2 is cofilin, including its isoforms such as cofilin-1, cofilin-2, and destrin (ADF), which are central regulators of actin filament turnover (prunier2017limkinasescofilin pages 10-11, ribba2022theroleof pages 10-12). Phosphorylation of cofilin at serine 3 by LIMK2 leads to its inactivation, resulting in reduced actin filament severing and subsequent stabilization of filamentous actin (F-actin). This action is a key point of regulation in controlling cytoskeletal dynamics and cell motility. Beyond cofilin, LIMK2 has been implicated in phosphorylating substrates involved in microtubule regulation, such as TPPP, which contribute to astral microtubule organization and mitotic spindle orientation (jiang2023pdzandlim pages 16-17, berabez2022limkinasespromising pages 3-5). In vitro studies have also demonstrated phosphorylation of myelin basic protein (MBP) and histone proteins, although the physiological relevance of these substrates remains less defined (Information). While no specific consensus motif has been firmly established for LIMK2, substrate recognition is believed to rely on both the intrinsic catalytic properties of its unusually shallow active site – characterized by the unique DLNSHN catalytic loop – and extensive docking interactions with the substrate, as evidenced by structural studies with cofilin (shah2023limk2amultifaceted pages 4-6, prunier2017limkinasescofilin pages 10-11).</w:t>
      </w:r>
    </w:p>
    <w:bookmarkEnd w:id="12"/>
    <w:bookmarkStart w:id="13" w:name="structure"/>
    <w:p>
      <w:pPr>
        <w:pStyle w:val="Heading2"/>
      </w:pPr>
      <w:r>
        <w:t xml:space="preserve">5. Structure</w:t>
      </w:r>
    </w:p>
    <w:p>
      <w:pPr>
        <w:pStyle w:val="FirstParagraph"/>
      </w:pPr>
      <w:r>
        <w:t xml:space="preserve">LIMK2’s structure is defined by a modular organization that underpins both its catalytic activity and its role in substrate recognition. The protein is comprised of several distinct domains:</w:t>
      </w:r>
      <w:r>
        <w:br/>
      </w:r>
      <w:r>
        <w:t xml:space="preserve"> • Two N-terminal LIM domains – these tandem zinc finger motifs mediate protein–protein interactions rather than binding to DNA and are involved in regulatory dimerization or autoinhibition processes (villalonga2023limkinaseslimk1 pages 1-2, fraboulet2022theroleof pages 1-2).</w:t>
      </w:r>
      <w:r>
        <w:br/>
      </w:r>
      <w:r>
        <w:t xml:space="preserve"> • A central PDZ domain – this domain facilitates further protein–protein interactions and is implicated in subcellular localization and potentially nucleocytoplasmic shuttling, with several studies noting its role in mediating interactions with regulatory partners such as Neurofibromin (NF1) (shah2023limk2amultifaceted pages 1-3, ribba2022theroleof pages 4-4).</w:t>
      </w:r>
      <w:r>
        <w:br/>
      </w:r>
      <w:r>
        <w:t xml:space="preserve"> • A serine/proline-rich (S/P) region – this unstructured region is thought to contribute to flexible regulatory interactions and may serve as a platform for post-translational modifications.</w:t>
      </w:r>
      <w:r>
        <w:br/>
      </w:r>
      <w:r>
        <w:t xml:space="preserve"> • A C-terminal kinase domain – this catalytic domain contains all the canonical subdomains found in protein kinases, including an activation loop whose phosphorylation (e.g., at Thr505) is critical for full enzyme activation (shah2023limk2amultifaceted pages 1-3, villalonga2023limkinaseslimk1 pages 1-2). A unique feature within the kinase domain is its catalytic loop that harbors a DLNSHN sequence, which is not found in most other serine/threonine kinases and is implicated in its distinctive “rock and poke” mechanism of substrate phosphorylation (shah2023limk2amultifaceted pages 4-6, villalonga2023limkinaseslimk1 pages 1-2).</w:t>
      </w:r>
      <w:r>
        <w:br/>
      </w:r>
      <w:r>
        <w:t xml:space="preserve">Additionally, multiple isoforms of LIMK2 have been identified, including LIMK2a, LIMK2b, LIMK2-1, and testis-specific tLIMK2 – each differing in the retention or exclusion of portions of the LIM or PDZ domains, which likely confer tissue-specific localization and regulatory differences (villalonga2023limkinaseslimk1 pages 1-2, shah2023limk2amultifaceted pages 3-4). Although high-resolution crystal structures specific for LIMK2 are less abundant than those for LIMK1, insights from AlphaFold predictions and comparative structural studies provide a model in which the kinase domain is flanked by regulatory motifs that influence both its catalytic efficiency and substrate docking (shah2023limk2amultifaceted pages 4-6, ribba2022theroleof pages 4-4).</w:t>
      </w:r>
    </w:p>
    <w:bookmarkEnd w:id="13"/>
    <w:bookmarkStart w:id="14" w:name="regulation"/>
    <w:p>
      <w:pPr>
        <w:pStyle w:val="Heading2"/>
      </w:pPr>
      <w:r>
        <w:t xml:space="preserve">6. Regulation</w:t>
      </w:r>
    </w:p>
    <w:p>
      <w:pPr>
        <w:pStyle w:val="FirstParagraph"/>
      </w:pPr>
      <w:r>
        <w:t xml:space="preserve">LIMK2 activity is finely regulated through multiple layers, which include both post-translational modifications and protein–protein interactions:</w:t>
      </w:r>
      <w:r>
        <w:br/>
      </w:r>
      <w:r>
        <w:t xml:space="preserve"> • </w:t>
      </w:r>
      <w:r>
        <w:rPr>
          <w:b/>
          <w:bCs/>
        </w:rPr>
        <w:t xml:space="preserve">Phosphorylation:</w:t>
      </w:r>
      <w:r>
        <w:t xml:space="preserve"> </w:t>
      </w:r>
      <w:r>
        <w:t xml:space="preserve">A key regulatory mechanism is the phosphorylation of LIMK2 at a conserved threonine residue within its activation loop (commonly Thr505) by upstream kinases such as Rho-associated coiled-coil containing protein kinases (ROCK1/2), p21-activated kinases (PAK1/2/4), and myotonic dystrophy-related Cdc42-binding kinase (MRCKα) (jiang2023pdzandlim pages 16-17, villalonga2023limkinaseslimk1 pages 1-2). Additionally, Aurora kinase A (AURKA) is known to phosphorylate LIMK2 at residues including Ser283, Thr494, and Thr505, further enhancing its catalytic activity, stabilizing its conformation through prevention of ubiquitin-dependent degradation, and influencing its subcellular localization (shah2023limk2amultifaceted pages 6-8, villalonga2023limkinaseslimk1 pages 10-11).</w:t>
      </w:r>
      <w:r>
        <w:br/>
      </w:r>
      <w:r>
        <w:t xml:space="preserve"> • </w:t>
      </w:r>
      <w:r>
        <w:rPr>
          <w:b/>
          <w:bCs/>
        </w:rPr>
        <w:t xml:space="preserve">Protein Interactions:</w:t>
      </w:r>
      <w:r>
        <w:t xml:space="preserve"> </w:t>
      </w:r>
      <w:r>
        <w:t xml:space="preserve">LIMK2 interacts with several molecules that modulate its function. For instance, binding of Par-3 has been reported to inhibit LIMK2’s activity, reducing the phosphorylation levels of cofilin and thereby influencing tight junction assembly and cell polarity (jiang2023pdzandlim pages 16-17, villalonga2023limkinaseslimk1 pages 11-13). Regulatory proteins such as NF1 and other scaffold proteins also participate in modulating its phosphorylation state and subcellular distribution (shah2023limk2amultifaceted pages 6-8).</w:t>
      </w:r>
      <w:r>
        <w:br/>
      </w:r>
      <w:r>
        <w:t xml:space="preserve"> • </w:t>
      </w:r>
      <w:r>
        <w:rPr>
          <w:b/>
          <w:bCs/>
        </w:rPr>
        <w:t xml:space="preserve">Post-Transcriptional Control:</w:t>
      </w:r>
      <w:r>
        <w:t xml:space="preserve"> </w:t>
      </w:r>
      <w:r>
        <w:t xml:space="preserve">LIMK2 expression is further regulated at the transcriptional and post-transcriptional levels. MicroRNAs (for example, miR-135a) and long non-coding RNAs, such as LINC00460, have been implicated in modulating LIMK2 mRNA stability; disruptions in these regulatory circuits can lead to altered LIMK2 levels in various cancers (shah2023limk2amultifaceted pages 13-16, sooreshjani2021identifyingtheversatile pages 20-23).</w:t>
      </w:r>
      <w:r>
        <w:br/>
      </w:r>
      <w:r>
        <w:t xml:space="preserve"> • </w:t>
      </w:r>
      <w:r>
        <w:rPr>
          <w:b/>
          <w:bCs/>
        </w:rPr>
        <w:t xml:space="preserve">Feedback and Allosteric Regulation:</w:t>
      </w:r>
      <w:r>
        <w:t xml:space="preserve"> </w:t>
      </w:r>
      <w:r>
        <w:t xml:space="preserve">Some studies have indicated that LIMK2 may form regulatory feedback loops; for example, its phosphorylation events can directly or indirectly affect the activity of transcriptional regulators such as YAP1 – promoting nuclear localization of YAP1 where it functions as a corepressor to suppress target genes like AURKA and PLK1, thereby linking cytoskeletal dynamics with cell cycle control (Information, jiang2023pdzandlim pages 16-17).</w:t>
      </w:r>
      <w:r>
        <w:br/>
      </w:r>
      <w:r>
        <w:t xml:space="preserve">Together, these regulatory mechanisms ensure that LIMK2 activity is tightly coordinated with extracellular signals, intracellular structural rearrangements, and cell cycle requirements (shah2023limk2amultifaceted pages 6-8, villalonga2023limkinaseslimk1 pages 11-13).</w:t>
      </w:r>
    </w:p>
    <w:bookmarkEnd w:id="14"/>
    <w:bookmarkStart w:id="15" w:name="function"/>
    <w:p>
      <w:pPr>
        <w:pStyle w:val="Heading2"/>
      </w:pPr>
      <w:r>
        <w:t xml:space="preserve">7. Function</w:t>
      </w:r>
    </w:p>
    <w:p>
      <w:pPr>
        <w:pStyle w:val="FirstParagraph"/>
      </w:pPr>
      <w:r>
        <w:t xml:space="preserve">LIMK2 plays a multifaceted role in orchestrating cytoskeletal dynamics and is pivotal in several cellular processes:</w:t>
      </w:r>
      <w:r>
        <w:br/>
      </w:r>
      <w:r>
        <w:t xml:space="preserve"> • </w:t>
      </w:r>
      <w:r>
        <w:rPr>
          <w:b/>
          <w:bCs/>
        </w:rPr>
        <w:t xml:space="preserve">Actin Cytoskeleton Regulation:</w:t>
      </w:r>
      <w:r>
        <w:t xml:space="preserve"> </w:t>
      </w:r>
      <w:r>
        <w:t xml:space="preserve">The most well-characterized function of LIMK2 is its regulation of actin filament dynamics through phosphorylation of cofilin. By inactivating cofilin, which normally disassembles actin filaments, LIMK2 results in the stabilization of F-actin structures. This mechanism is central to modulating cell shape, migration, and the formation of stress fibers (prunier2017limkinasescofilin pages 10-11, ribba2022theroleof pages 10-12).</w:t>
      </w:r>
      <w:r>
        <w:br/>
      </w:r>
      <w:r>
        <w:t xml:space="preserve"> • </w:t>
      </w:r>
      <w:r>
        <w:rPr>
          <w:b/>
          <w:bCs/>
        </w:rPr>
        <w:t xml:space="preserve">Microtubule Organization and Mitosis:</w:t>
      </w:r>
      <w:r>
        <w:t xml:space="preserve"> </w:t>
      </w:r>
      <w:r>
        <w:t xml:space="preserve">In addition to its role in actin dynamics, LIMK2 is implicated in the organization of astral microtubules and the proper orientation of the mitotic spindle during early stages of mitosis. This function is mediated, at least in part, by the phosphorylation of TPPP – a process that contributes to mitotic spindle positioning and successful cell division (Information, jiang2023pdzandlim pages 16-17).</w:t>
      </w:r>
      <w:r>
        <w:br/>
      </w:r>
      <w:r>
        <w:t xml:space="preserve"> • </w:t>
      </w:r>
      <w:r>
        <w:rPr>
          <w:b/>
          <w:bCs/>
        </w:rPr>
        <w:t xml:space="preserve">Suppression of Ciliogenesis:</w:t>
      </w:r>
      <w:r>
        <w:t xml:space="preserve"> </w:t>
      </w:r>
      <w:r>
        <w:t xml:space="preserve">LIMK2 contributes to the suppression of ciliogenesis through a dual mechanism: the phosphorylation of cofilin alters actin dynamics required for ciliary vesicle trafficking, and LIMK2 also facilitates the nuclear localization of YAP1. In the nucleus, YAP1 operates as a transcriptional corepressor of TEAD4 target genes such as AURKA and PLK1, linking cytoskeletal regulation with control of the cell cycle and cilia formation (Information, shah2023limk2amultifaceted pages 8-10).</w:t>
      </w:r>
      <w:r>
        <w:br/>
      </w:r>
      <w:r>
        <w:t xml:space="preserve"> • </w:t>
      </w:r>
      <w:r>
        <w:rPr>
          <w:b/>
          <w:bCs/>
        </w:rPr>
        <w:t xml:space="preserve">Additional Phosphorylation Functions:</w:t>
      </w:r>
      <w:r>
        <w:t xml:space="preserve"> </w:t>
      </w:r>
      <w:r>
        <w:t xml:space="preserve">In vitro, LIMK2 has been shown to phosphorylate myelin basic protein and histone, suggesting broader potential roles in chromatin organization and neuronal function, although the in vivo relevance of these substrates requires further clarification (Information, prunier2017limkinasescofilin pages 10-11).</w:t>
      </w:r>
      <w:r>
        <w:br/>
      </w:r>
      <w:r>
        <w:t xml:space="preserve"> • </w:t>
      </w:r>
      <w:r>
        <w:rPr>
          <w:b/>
          <w:bCs/>
        </w:rPr>
        <w:t xml:space="preserve">Signal Transduction:</w:t>
      </w:r>
      <w:r>
        <w:t xml:space="preserve"> </w:t>
      </w:r>
      <w:r>
        <w:t xml:space="preserve">Operating downstream of several Rho family GTPase signaling pathways, LIMK2 integrates signals from extracellular stimuli that regulate cell migration, adhesion, and invasion. Its role as a nodal point in these pathways makes it critical not only for normal cytoskeletal remodeling but also for pathological processes such as cancer metastasis (berabez2022limkinasespromising pages 1-3, jiang2023pdzandlim pages 16-17).</w:t>
      </w:r>
      <w:r>
        <w:br/>
      </w:r>
      <w:r>
        <w:t xml:space="preserve">Collectively, the broad expression pattern of LIMK2 across adult and embryonic tissues – including the brain, testis, and various other organs – underscores its importance in diverse physiological contexts ranging from neuronal differentiation to spermatogenesis and tumor progression (villalonga2023limkinaseslimk1 pages 1-2, fraboulet2022theroleof pages 3-4).</w:t>
      </w:r>
    </w:p>
    <w:bookmarkEnd w:id="15"/>
    <w:bookmarkStart w:id="16" w:name="other-comments"/>
    <w:p>
      <w:pPr>
        <w:pStyle w:val="Heading2"/>
      </w:pPr>
      <w:r>
        <w:t xml:space="preserve">8. Other Comments</w:t>
      </w:r>
    </w:p>
    <w:p>
      <w:pPr>
        <w:pStyle w:val="FirstParagraph"/>
      </w:pPr>
      <w:r>
        <w:t xml:space="preserve">A considerable research effort has been dedicated to targeting LIMK2 for therapeutic applications. Multiple small-molecule inhibitors – including ATP-competitive Type I inhibitors and allosteric Type III inhibitors – have been developed to modulate LIMK activity. Despite the development of several LIMK inhibitors, achieving isoform specificity between LIMK1 and LIMK2 remains challenging due to their high degree of similarity, particularly in the kinase domain (mandel2025covalenttargetingleads pages 1-4, shah2023limk2amultifaceted pages 16-22). Dysregulation of LIMK2 has been associated with a range of diseases. In cancer, overactivation of LIMK2 is linked to enhanced tumor cell motility, invasion, and chemoresistance, and specific single nucleotide polymorphisms (e.g., in the 3’-UTR) have been correlated with increased metastasis in bladder cancer (jiang2023pdzandlim pages 16-17, berabez2022limkinasespromising pages 21-22). Moreover, LIMK2’s role in suppressing ciliogenesis through modulation of actin dynamics and regulation of YAP1 has drawn attention in studies of ocular hypertension and glaucoma. In the reproductive system, isoforms such as the testis-specific tLIMK2 are critical for normal spermatogenesis, and mutations or dysregulation here have been linked to infertility phenotypes (fraboulet2022theroleof pages 10-12, villalonga2023limkinaseslimk1 pages 11-13). Current research is actively exploring strategies to exploit the unique catalytic and regulatory features of LIMK2 to develop more selective inhibitors that could have clinical utility in treating these pathologies (shah2023limk2amultifaceted pages 16-22, sooreshjani2021identifyingtheversatile pages 23-28). Additionally, investigations into the precise structural and mechanistic basis of LIMK2 function—especially its unusual “rock and poke” substrate recognition mechanism—offer promising avenues for both basic science and drug development (shah2023limk2amultifaceted pages 4-6, prunier2017limkinasescofilin pages 10-11).</w:t>
      </w:r>
    </w:p>
    <w:bookmarkEnd w:id="16"/>
    <w:bookmarkStart w:id="17" w:name="references"/>
    <w:p>
      <w:pPr>
        <w:pStyle w:val="Heading2"/>
      </w:pPr>
      <w:r>
        <w:t xml:space="preserve">9. References</w:t>
      </w:r>
    </w:p>
    <w:p>
      <w:pPr>
        <w:pStyle w:val="Compact"/>
        <w:numPr>
          <w:ilvl w:val="0"/>
          <w:numId w:val="1001"/>
        </w:numPr>
      </w:pPr>
      <w:r>
        <w:t xml:space="preserve">berabez2022limkinasespromising pages 1-3</w:t>
      </w:r>
      <w:r>
        <w:br/>
      </w:r>
    </w:p>
    <w:p>
      <w:pPr>
        <w:pStyle w:val="Compact"/>
        <w:numPr>
          <w:ilvl w:val="0"/>
          <w:numId w:val="1001"/>
        </w:numPr>
      </w:pPr>
      <w:r>
        <w:t xml:space="preserve">jiang2023pdzandlim pages 16-17</w:t>
      </w:r>
      <w:r>
        <w:br/>
      </w:r>
    </w:p>
    <w:p>
      <w:pPr>
        <w:pStyle w:val="Compact"/>
        <w:numPr>
          <w:ilvl w:val="0"/>
          <w:numId w:val="1001"/>
        </w:numPr>
      </w:pPr>
      <w:r>
        <w:t xml:space="preserve">prunier2017limkinasescofilin pages 10-11</w:t>
      </w:r>
      <w:r>
        <w:br/>
      </w:r>
    </w:p>
    <w:p>
      <w:pPr>
        <w:pStyle w:val="Compact"/>
        <w:numPr>
          <w:ilvl w:val="0"/>
          <w:numId w:val="1001"/>
        </w:numPr>
      </w:pPr>
      <w:r>
        <w:t xml:space="preserve">ribba2022theroleof pages 12-13</w:t>
      </w:r>
      <w:r>
        <w:br/>
      </w:r>
    </w:p>
    <w:p>
      <w:pPr>
        <w:pStyle w:val="Compact"/>
        <w:numPr>
          <w:ilvl w:val="0"/>
          <w:numId w:val="1001"/>
        </w:numPr>
      </w:pPr>
      <w:r>
        <w:t xml:space="preserve">ribba2022theroleof pages 4-4</w:t>
      </w:r>
      <w:r>
        <w:br/>
      </w:r>
    </w:p>
    <w:p>
      <w:pPr>
        <w:pStyle w:val="Compact"/>
        <w:numPr>
          <w:ilvl w:val="0"/>
          <w:numId w:val="1001"/>
        </w:numPr>
      </w:pPr>
      <w:r>
        <w:t xml:space="preserve">shah2023limk2amultifaceted pages 1-3</w:t>
      </w:r>
      <w:r>
        <w:br/>
      </w:r>
    </w:p>
    <w:p>
      <w:pPr>
        <w:pStyle w:val="Compact"/>
        <w:numPr>
          <w:ilvl w:val="0"/>
          <w:numId w:val="1001"/>
        </w:numPr>
      </w:pPr>
      <w:r>
        <w:t xml:space="preserve">shah2023limk2amultifaceted pages 10-11</w:t>
      </w:r>
      <w:r>
        <w:br/>
      </w:r>
    </w:p>
    <w:p>
      <w:pPr>
        <w:pStyle w:val="Compact"/>
        <w:numPr>
          <w:ilvl w:val="0"/>
          <w:numId w:val="1001"/>
        </w:numPr>
      </w:pPr>
      <w:r>
        <w:t xml:space="preserve">shah2023limk2amultifaceted pages 16-22</w:t>
      </w:r>
      <w:r>
        <w:br/>
      </w:r>
    </w:p>
    <w:p>
      <w:pPr>
        <w:pStyle w:val="Compact"/>
        <w:numPr>
          <w:ilvl w:val="0"/>
          <w:numId w:val="1001"/>
        </w:numPr>
      </w:pPr>
      <w:r>
        <w:t xml:space="preserve">shah2023limk2amultifaceted pages 6-8</w:t>
      </w:r>
      <w:r>
        <w:br/>
      </w:r>
    </w:p>
    <w:p>
      <w:pPr>
        <w:pStyle w:val="Compact"/>
        <w:numPr>
          <w:ilvl w:val="0"/>
          <w:numId w:val="1001"/>
        </w:numPr>
      </w:pPr>
      <w:r>
        <w:t xml:space="preserve">shah2023limk2amultifaceted pages 8-10</w:t>
      </w:r>
      <w:r>
        <w:br/>
      </w:r>
    </w:p>
    <w:p>
      <w:pPr>
        <w:pStyle w:val="Compact"/>
        <w:numPr>
          <w:ilvl w:val="0"/>
          <w:numId w:val="1001"/>
        </w:numPr>
      </w:pPr>
      <w:r>
        <w:t xml:space="preserve">sooreshjani2021identifyingtheversatile pages 20-23</w:t>
      </w:r>
      <w:r>
        <w:br/>
      </w:r>
    </w:p>
    <w:p>
      <w:pPr>
        <w:pStyle w:val="Compact"/>
        <w:numPr>
          <w:ilvl w:val="0"/>
          <w:numId w:val="1001"/>
        </w:numPr>
      </w:pPr>
      <w:r>
        <w:t xml:space="preserve">sooreshjani2021identifyingtheversatile pages 23-28</w:t>
      </w:r>
      <w:r>
        <w:br/>
      </w:r>
    </w:p>
    <w:p>
      <w:pPr>
        <w:pStyle w:val="Compact"/>
        <w:numPr>
          <w:ilvl w:val="0"/>
          <w:numId w:val="1001"/>
        </w:numPr>
      </w:pPr>
      <w:r>
        <w:t xml:space="preserve">berabez2022limkinasespromising pages 3-5</w:t>
      </w:r>
      <w:r>
        <w:br/>
      </w:r>
    </w:p>
    <w:p>
      <w:pPr>
        <w:pStyle w:val="Compact"/>
        <w:numPr>
          <w:ilvl w:val="0"/>
          <w:numId w:val="1001"/>
        </w:numPr>
      </w:pPr>
      <w:r>
        <w:t xml:space="preserve">brion2021limkinasesin pages 2-4</w:t>
      </w:r>
      <w:r>
        <w:br/>
      </w:r>
    </w:p>
    <w:p>
      <w:pPr>
        <w:pStyle w:val="Compact"/>
        <w:numPr>
          <w:ilvl w:val="0"/>
          <w:numId w:val="1001"/>
        </w:numPr>
      </w:pPr>
      <w:r>
        <w:t xml:space="preserve">casanovasepulveda2023autoregulationofthe pages 1-2</w:t>
      </w:r>
      <w:r>
        <w:br/>
      </w:r>
    </w:p>
    <w:p>
      <w:pPr>
        <w:pStyle w:val="Compact"/>
        <w:numPr>
          <w:ilvl w:val="0"/>
          <w:numId w:val="1001"/>
        </w:numPr>
      </w:pPr>
      <w:r>
        <w:t xml:space="preserve">fraboulet2022theroleof pages 1-2</w:t>
      </w:r>
      <w:r>
        <w:br/>
      </w:r>
    </w:p>
    <w:p>
      <w:pPr>
        <w:pStyle w:val="Compact"/>
        <w:numPr>
          <w:ilvl w:val="0"/>
          <w:numId w:val="1001"/>
        </w:numPr>
      </w:pPr>
      <w:r>
        <w:t xml:space="preserve">fraboulet2022theroleof pages 12-13</w:t>
      </w:r>
      <w:r>
        <w:br/>
      </w:r>
    </w:p>
    <w:p>
      <w:pPr>
        <w:pStyle w:val="Compact"/>
        <w:numPr>
          <w:ilvl w:val="0"/>
          <w:numId w:val="1001"/>
        </w:numPr>
      </w:pPr>
      <w:r>
        <w:t xml:space="preserve">fraboulet2022theroleof pages 13-15</w:t>
      </w:r>
      <w:r>
        <w:br/>
      </w:r>
    </w:p>
    <w:p>
      <w:pPr>
        <w:pStyle w:val="Compact"/>
        <w:numPr>
          <w:ilvl w:val="0"/>
          <w:numId w:val="1001"/>
        </w:numPr>
      </w:pPr>
      <w:r>
        <w:t xml:space="preserve">fraboulet2022theroleof pages 4-4</w:t>
      </w:r>
      <w:r>
        <w:br/>
      </w:r>
    </w:p>
    <w:p>
      <w:pPr>
        <w:pStyle w:val="Compact"/>
        <w:numPr>
          <w:ilvl w:val="0"/>
          <w:numId w:val="1001"/>
        </w:numPr>
      </w:pPr>
      <w:r>
        <w:t xml:space="preserve">hanke2022developmentandcharacterization pages 1-3</w:t>
      </w:r>
      <w:r>
        <w:br/>
      </w:r>
    </w:p>
    <w:p>
      <w:pPr>
        <w:pStyle w:val="Compact"/>
        <w:numPr>
          <w:ilvl w:val="0"/>
          <w:numId w:val="1001"/>
        </w:numPr>
      </w:pPr>
      <w:r>
        <w:t xml:space="preserve">jiang2023pdzandlim pages 14-16</w:t>
      </w:r>
      <w:r>
        <w:br/>
      </w:r>
    </w:p>
    <w:p>
      <w:pPr>
        <w:pStyle w:val="Compact"/>
        <w:numPr>
          <w:ilvl w:val="0"/>
          <w:numId w:val="1001"/>
        </w:numPr>
      </w:pPr>
      <w:r>
        <w:t xml:space="preserve">mandel2025covalenttargetingleads pages 1-4</w:t>
      </w:r>
      <w:r>
        <w:br/>
      </w:r>
    </w:p>
    <w:p>
      <w:pPr>
        <w:pStyle w:val="Compact"/>
        <w:numPr>
          <w:ilvl w:val="0"/>
          <w:numId w:val="1001"/>
        </w:numPr>
      </w:pPr>
      <w:r>
        <w:t xml:space="preserve">mandel2025covalenttargetingleads pages 63-66</w:t>
      </w:r>
      <w:r>
        <w:br/>
      </w:r>
    </w:p>
    <w:p>
      <w:pPr>
        <w:pStyle w:val="Compact"/>
        <w:numPr>
          <w:ilvl w:val="0"/>
          <w:numId w:val="1001"/>
        </w:numPr>
      </w:pPr>
      <w:r>
        <w:t xml:space="preserve">mandel2025repurposingofthe pages 1-2</w:t>
      </w:r>
      <w:r>
        <w:br/>
      </w:r>
    </w:p>
    <w:p>
      <w:pPr>
        <w:pStyle w:val="Compact"/>
        <w:numPr>
          <w:ilvl w:val="0"/>
          <w:numId w:val="1001"/>
        </w:numPr>
      </w:pPr>
      <w:r>
        <w:t xml:space="preserve">park2021theroleof pages 3-4</w:t>
      </w:r>
      <w:r>
        <w:br/>
      </w:r>
    </w:p>
    <w:p>
      <w:pPr>
        <w:pStyle w:val="Compact"/>
        <w:numPr>
          <w:ilvl w:val="0"/>
          <w:numId w:val="1001"/>
        </w:numPr>
      </w:pPr>
      <w:r>
        <w:t xml:space="preserve">prunier2017limkinasescofilin pages 4-9</w:t>
      </w:r>
      <w:r>
        <w:br/>
      </w:r>
    </w:p>
    <w:p>
      <w:pPr>
        <w:pStyle w:val="Compact"/>
        <w:numPr>
          <w:ilvl w:val="0"/>
          <w:numId w:val="1001"/>
        </w:numPr>
      </w:pPr>
      <w:r>
        <w:t xml:space="preserve">ribba2022theroleof pages 1-2</w:t>
      </w:r>
      <w:r>
        <w:br/>
      </w:r>
    </w:p>
    <w:p>
      <w:pPr>
        <w:pStyle w:val="Compact"/>
        <w:numPr>
          <w:ilvl w:val="0"/>
          <w:numId w:val="1001"/>
        </w:numPr>
      </w:pPr>
      <w:r>
        <w:t xml:space="preserve">ribba2022theroleof pages 10-12</w:t>
      </w:r>
      <w:r>
        <w:br/>
      </w:r>
    </w:p>
    <w:p>
      <w:pPr>
        <w:pStyle w:val="Compact"/>
        <w:numPr>
          <w:ilvl w:val="0"/>
          <w:numId w:val="1001"/>
        </w:numPr>
      </w:pPr>
      <w:r>
        <w:t xml:space="preserve">ribba2022theroleof pages 13-15</w:t>
      </w:r>
      <w:r>
        <w:br/>
      </w:r>
    </w:p>
    <w:p>
      <w:pPr>
        <w:pStyle w:val="Compact"/>
        <w:numPr>
          <w:ilvl w:val="0"/>
          <w:numId w:val="1001"/>
        </w:numPr>
      </w:pPr>
      <w:r>
        <w:t xml:space="preserve">ribba2022theroleof pages 17-17</w:t>
      </w:r>
      <w:r>
        <w:br/>
      </w:r>
    </w:p>
    <w:p>
      <w:pPr>
        <w:pStyle w:val="Compact"/>
        <w:numPr>
          <w:ilvl w:val="0"/>
          <w:numId w:val="1001"/>
        </w:numPr>
      </w:pPr>
      <w:r>
        <w:t xml:space="preserve">ribba2022theroleof pages 3-4</w:t>
      </w:r>
      <w:r>
        <w:br/>
      </w:r>
    </w:p>
    <w:p>
      <w:pPr>
        <w:pStyle w:val="Compact"/>
        <w:numPr>
          <w:ilvl w:val="0"/>
          <w:numId w:val="1001"/>
        </w:numPr>
      </w:pPr>
      <w:r>
        <w:t xml:space="preserve">salah2019lessonsfromlimk1 pages 12-13</w:t>
      </w:r>
      <w:r>
        <w:br/>
      </w:r>
    </w:p>
    <w:p>
      <w:pPr>
        <w:pStyle w:val="Compact"/>
        <w:numPr>
          <w:ilvl w:val="0"/>
          <w:numId w:val="1001"/>
        </w:numPr>
      </w:pPr>
      <w:r>
        <w:t xml:space="preserve">shah2023limk2amultifaceted pages 13-16</w:t>
      </w:r>
      <w:r>
        <w:br/>
      </w:r>
    </w:p>
    <w:p>
      <w:pPr>
        <w:pStyle w:val="Compact"/>
        <w:numPr>
          <w:ilvl w:val="0"/>
          <w:numId w:val="1001"/>
        </w:numPr>
      </w:pPr>
      <w:r>
        <w:t xml:space="preserve">shah2023limk2amultifaceted pages 3-4</w:t>
      </w:r>
      <w:r>
        <w:br/>
      </w:r>
    </w:p>
    <w:p>
      <w:pPr>
        <w:pStyle w:val="Compact"/>
        <w:numPr>
          <w:ilvl w:val="0"/>
          <w:numId w:val="1001"/>
        </w:numPr>
      </w:pPr>
      <w:r>
        <w:t xml:space="preserve">shah2023limk2amultifaceted pages 4-6</w:t>
      </w:r>
      <w:r>
        <w:br/>
      </w:r>
    </w:p>
    <w:p>
      <w:pPr>
        <w:pStyle w:val="Compact"/>
        <w:numPr>
          <w:ilvl w:val="0"/>
          <w:numId w:val="1001"/>
        </w:numPr>
      </w:pPr>
      <w:r>
        <w:t xml:space="preserve">villalonga2023limkinaseslimk1 pages 1-2</w:t>
      </w:r>
      <w:r>
        <w:br/>
      </w:r>
    </w:p>
    <w:p>
      <w:pPr>
        <w:pStyle w:val="Compact"/>
        <w:numPr>
          <w:ilvl w:val="0"/>
          <w:numId w:val="1001"/>
        </w:numPr>
      </w:pPr>
      <w:r>
        <w:t xml:space="preserve">villalonga2023limkinaseslimk1 pages 10-11</w:t>
      </w:r>
      <w:r>
        <w:br/>
      </w:r>
    </w:p>
    <w:p>
      <w:pPr>
        <w:pStyle w:val="Compact"/>
        <w:numPr>
          <w:ilvl w:val="0"/>
          <w:numId w:val="1001"/>
        </w:numPr>
      </w:pPr>
      <w:r>
        <w:t xml:space="preserve">villalonga2023limkinaseslimk1 pages 11-13</w:t>
      </w:r>
      <w:r>
        <w:br/>
      </w:r>
    </w:p>
    <w:p>
      <w:pPr>
        <w:pStyle w:val="Compact"/>
        <w:numPr>
          <w:ilvl w:val="0"/>
          <w:numId w:val="1001"/>
        </w:numPr>
      </w:pPr>
      <w:r>
        <w:t xml:space="preserve">villalonga2023limkinaseslimk1 pages 2-6</w:t>
      </w:r>
      <w:r>
        <w:br/>
      </w:r>
    </w:p>
    <w:p>
      <w:pPr>
        <w:pStyle w:val="Compact"/>
        <w:numPr>
          <w:ilvl w:val="0"/>
          <w:numId w:val="1001"/>
        </w:numPr>
      </w:pPr>
      <w:r>
        <w:t xml:space="preserve">villalonga2023limkinaseslimk1 pages 31-32</w:t>
      </w:r>
      <w:r>
        <w:br/>
      </w:r>
    </w:p>
    <w:p>
      <w:pPr>
        <w:pStyle w:val="Compact"/>
        <w:numPr>
          <w:ilvl w:val="0"/>
          <w:numId w:val="1001"/>
        </w:numPr>
      </w:pPr>
      <w:r>
        <w:t xml:space="preserve">villalonga2023limkinaseslimk1 pages 6-7</w:t>
      </w:r>
      <w:r>
        <w:br/>
      </w:r>
    </w:p>
    <w:p>
      <w:pPr>
        <w:pStyle w:val="Compact"/>
        <w:numPr>
          <w:ilvl w:val="0"/>
          <w:numId w:val="1001"/>
        </w:numPr>
      </w:pPr>
      <w:r>
        <w:t xml:space="preserve">villalonga2023limkinaseslimk1 pages 7-9</w:t>
      </w:r>
      <w:r>
        <w:br/>
      </w:r>
    </w:p>
    <w:p>
      <w:pPr>
        <w:pStyle w:val="Compact"/>
        <w:numPr>
          <w:ilvl w:val="0"/>
          <w:numId w:val="1001"/>
        </w:numPr>
      </w:pPr>
      <w:r>
        <w:t xml:space="preserve">berabez2022limkinasespromising pages 21-22</w:t>
      </w:r>
      <w:r>
        <w:br/>
      </w:r>
    </w:p>
    <w:p>
      <w:pPr>
        <w:pStyle w:val="Compact"/>
        <w:numPr>
          <w:ilvl w:val="0"/>
          <w:numId w:val="1001"/>
        </w:numPr>
      </w:pPr>
      <w:r>
        <w:t xml:space="preserve">brion2021limkinasesin pages 1-2</w:t>
      </w:r>
      <w:r>
        <w:br/>
      </w:r>
    </w:p>
    <w:p>
      <w:pPr>
        <w:pStyle w:val="Compact"/>
        <w:numPr>
          <w:ilvl w:val="0"/>
          <w:numId w:val="1001"/>
        </w:numPr>
      </w:pPr>
      <w:r>
        <w:t xml:space="preserve">brown2016investigatingtheactin pages 28-33</w:t>
      </w:r>
      <w:r>
        <w:br/>
      </w:r>
    </w:p>
    <w:p>
      <w:pPr>
        <w:pStyle w:val="Compact"/>
        <w:numPr>
          <w:ilvl w:val="0"/>
          <w:numId w:val="1001"/>
        </w:numPr>
      </w:pPr>
      <w:r>
        <w:t xml:space="preserve">fraboulet2022theroleof pages 10-12</w:t>
      </w:r>
      <w:r>
        <w:br/>
      </w:r>
    </w:p>
    <w:p>
      <w:pPr>
        <w:pStyle w:val="Compact"/>
        <w:numPr>
          <w:ilvl w:val="0"/>
          <w:numId w:val="1001"/>
        </w:numPr>
      </w:pPr>
      <w:r>
        <w:t xml:space="preserve">fraboulet2022theroleof pages 17-17</w:t>
      </w:r>
      <w:r>
        <w:br/>
      </w:r>
    </w:p>
    <w:p>
      <w:pPr>
        <w:pStyle w:val="Compact"/>
        <w:numPr>
          <w:ilvl w:val="0"/>
          <w:numId w:val="1001"/>
        </w:numPr>
      </w:pPr>
      <w:r>
        <w:t xml:space="preserve">fraboulet2022theroleof pages 3-4</w:t>
      </w:r>
      <w:r>
        <w:br/>
      </w:r>
    </w:p>
    <w:p>
      <w:pPr>
        <w:pStyle w:val="Compact"/>
        <w:numPr>
          <w:ilvl w:val="0"/>
          <w:numId w:val="1001"/>
        </w:numPr>
      </w:pPr>
      <w:r>
        <w:t xml:space="preserve">salah2019lessonsfromlimk1 pages 1-2</w:t>
      </w:r>
      <w:r>
        <w:br/>
      </w:r>
    </w:p>
    <w:p>
      <w:pPr>
        <w:pStyle w:val="Compact"/>
        <w:numPr>
          <w:ilvl w:val="0"/>
          <w:numId w:val="1001"/>
        </w:numPr>
      </w:pPr>
      <w:r>
        <w:t xml:space="preserve">salah2019lessonsfromlimk1 pages 2-2</w:t>
      </w:r>
    </w:p>
    <w:p>
      <w:pPr>
        <w:pStyle w:val="FirstParagraph"/>
      </w:pPr>
      <w:r>
        <w:t xml:space="preserve">References</w:t>
      </w:r>
    </w:p>
    <w:p>
      <w:pPr>
        <w:numPr>
          <w:ilvl w:val="0"/>
          <w:numId w:val="1002"/>
        </w:numPr>
      </w:pPr>
      <w:r>
        <w:t xml:space="preserve">(berabez2022limkinasespromising pages 1-3): Rayan Berabez, Sylvain Routier, Hélène Bénédetti, Karen Plé, and Béatrice Vallée. Lim kinases, promising but reluctant therapeutic targets: chemistry and preclinical validation in vivo. Cells, 11:2090, Jun 2022. URL: https://doi.org/10.3390/cells11132090, doi:10.3390/cells11132090. This article has 16 citations and is from a peer-reviewed journal.</w:t>
      </w:r>
    </w:p>
    <w:p>
      <w:pPr>
        <w:numPr>
          <w:ilvl w:val="0"/>
          <w:numId w:val="1002"/>
        </w:numPr>
      </w:pPr>
      <w:r>
        <w:t xml:space="preserve">(jiang2023pdzandlim pages 16-17):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(prunier2017limkinasescofilin pages 10-11): Chloé Prunier, Renaud Prudent, Reuben Kapur, Karin Sadoul, and Laurence Lafanechère. Lim kinases: cofilin and beyond. Oncotarget, 8:41749-41763, Apr 2017. URL: https://doi.org/10.18632/oncotarget.16978, doi:10.18632/oncotarget.16978. This article has 111 citations and is from a poor quality or predatory journal.</w:t>
      </w:r>
    </w:p>
    <w:p>
      <w:pPr>
        <w:numPr>
          <w:ilvl w:val="0"/>
          <w:numId w:val="1002"/>
        </w:numPr>
      </w:pPr>
      <w:r>
        <w:t xml:space="preserve">(ribba2022theroleof pages 12-13):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4-4):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(shah2023limk2amultifaceted pages 1-3):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10-11):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16-22):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6-8):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8-10):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(sooreshjani2021identifyingtheversatile pages 20-23):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(sooreshjani2021identifyingtheversatile pages 23-28):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(berabez2022limkinasespromising pages 3-5): Rayan Berabez, Sylvain Routier, Hélène Bénédetti, Karen Plé, and Béatrice Vallée. Lim kinases, promising but reluctant therapeutic targets: chemistry and preclinical validation in vivo. Cells, 11:2090, Jun 2022. URL: https://doi.org/10.3390/cells11132090, doi:10.3390/cells11132090. This article has 16 citations and is from a peer-reviewed journal.</w:t>
      </w:r>
    </w:p>
    <w:p>
      <w:pPr>
        <w:numPr>
          <w:ilvl w:val="0"/>
          <w:numId w:val="1002"/>
        </w:numPr>
      </w:pPr>
      <w:r>
        <w:t xml:space="preserve">(brion2021limkinasesin pages 2-4):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(casanovasepulveda2023autoregulationofthe pages 1-2): Gabriela Casanova-Sepúlveda, Joel A. Sexton, Benjamin E. Turk, and Titus J. Boggon. Autoregulation of the lim kinases by their pdz domain. Nature Communications, Dec 2023. URL: https://doi.org/10.1038/s41467-023-44148-4, doi:10.1038/s41467-023-44148-4. This article has 4 citations and is from a highest quality peer-reviewed journal.</w:t>
      </w:r>
    </w:p>
    <w:p>
      <w:pPr>
        <w:numPr>
          <w:ilvl w:val="0"/>
          <w:numId w:val="1002"/>
        </w:numPr>
      </w:pPr>
      <w:r>
        <w:t xml:space="preserve">(fraboulet2022theroleof pages 1-2):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12-13):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13-15):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4-4): S Fraboulet and L Lafanechère. The role of lim kinases during development: a lens to get a glimpse of their implication in pathologies. cells 2022; 11: 403. Unknown journal, 2022.</w:t>
      </w:r>
    </w:p>
    <w:p>
      <w:pPr>
        <w:numPr>
          <w:ilvl w:val="0"/>
          <w:numId w:val="1002"/>
        </w:numPr>
      </w:pPr>
      <w:r>
        <w:t xml:space="preserve">(hanke2022developmentandcharacterization pages 1-3): Thomas Hanke, Sebastian Mathea, Julia Woortman, Eidarus Salah, Benedict-Tilman Berger, Anthony Tumber, Risa Kashima, Akiko Hata, Bernhard Kuster, Susanne Müller, and Stefan Knapp. Development and characterization of type i, type ii, and type iii lim-kinase chemical probes. Journal of Medicinal Chemistry, 65:13264-13287, Sep 2022. URL: https://doi.org/10.1021/acs.jmedchem.2c01106, doi:10.1021/acs.jmedchem.2c01106. This article has 16 citations and is from a highest quality peer-reviewed journal.</w:t>
      </w:r>
    </w:p>
    <w:p>
      <w:pPr>
        <w:numPr>
          <w:ilvl w:val="0"/>
          <w:numId w:val="1002"/>
        </w:numPr>
      </w:pPr>
      <w:r>
        <w:t xml:space="preserve">(jiang2023pdzandlim pages 14-16):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(mandel2025covalenttargetingleads pages 1-4): Sebastian Mandel, Thomas Hanke, Niall Prendiville, María Baena-Nuevo, Lena Berger, Frederic Farges, Martin-Peter Schwalm, Benedict-Tilmann Berger, Andreas Kraemer, Lewis Elson, Hayuningbudi Saraswati, Kamal Rayees Abdul Azeez, Verena Dederer, Sebastian Mathea, Ana Corrionero, Patricia Alfonso, Sabrina Keller, Matthias Gstaiger, Daniela S. Krause, Susanne Müller, Sandra Röhm, and Stefan Knapp. Covalent targeting leads to the development of limk1 isoform-selective inhibitors. BioRxiv, Apr 2025. URL: https://doi.org/10.1101/2025.04.17.649341, doi:10.1101/2025.04.17.649341. This article has 0 citations.</w:t>
      </w:r>
    </w:p>
    <w:p>
      <w:pPr>
        <w:numPr>
          <w:ilvl w:val="0"/>
          <w:numId w:val="1002"/>
        </w:numPr>
      </w:pPr>
      <w:r>
        <w:t xml:space="preserve">(mandel2025covalenttargetingleads pages 63-66): Sebastian Mandel, Thomas Hanke, Niall Prendiville, María Baena-Nuevo, Lena Berger, Frederic Farges, Martin-Peter Schwalm, Benedict-Tilmann Berger, Andreas Kraemer, Lewis Elson, Hayuningbudi Saraswati, Kamal Rayees Abdul Azeez, Verena Dederer, Sebastian Mathea, Ana Corrionero, Patricia Alfonso, Sabrina Keller, Matthias Gstaiger, Daniela S. Krause, Susanne Müller, Sandra Röhm, and Stefan Knapp. Covalent targeting leads to the development of limk1 isoform-selective inhibitors. BioRxiv, Apr 2025. URL: https://doi.org/10.1101/2025.04.17.649341, doi:10.1101/2025.04.17.649341. This article has 0 citations.</w:t>
      </w:r>
    </w:p>
    <w:p>
      <w:pPr>
        <w:numPr>
          <w:ilvl w:val="0"/>
          <w:numId w:val="1002"/>
        </w:numPr>
      </w:pPr>
      <w:r>
        <w:t xml:space="preserve">(mandel2025repurposingofthe pages 1-2): Sebastian Mandel, Thomas Hanke, Sebastian Mathea, Deep Chatterjee, Hayuningbudi Saraswati, Benedict-Tilman Berger, Martin Peter Schwalm, Satoshi Yamamoto, Michiko Tawada, Terufumi Takagi, Mahmood Ahmed, Sandra Röhm, Ana Corrionero, Patricia Alfonso, Maria Baena, Lewis Elson, Amelie Menge, Andreas Krämer, Raquel Pereira, Susanne Müller, Daniela S. Krause, and Stefan Knapp. Repurposing of the ripk1-selective benzo[1,4]oxazepin-4-one scaffold for the development of a type iii limk1/2 inhibitor. ACS Chemical Biology, Apr 2025. URL: https://doi.org/10.1021/acschembio.5c00097, doi:10.1021/acschembio.5c00097. This article has 0 citations and is from a domain leading peer-reviewed journal.</w:t>
      </w:r>
    </w:p>
    <w:p>
      <w:pPr>
        <w:numPr>
          <w:ilvl w:val="0"/>
          <w:numId w:val="1002"/>
        </w:numPr>
      </w:pPr>
      <w:r>
        <w:t xml:space="preserve">(park2021theroleof pages 3-4): Juhyun Park, Soo Woong Kim, and Min Chul Cho. The role of lim kinase in the male urogenital system. Cells, 11:78, Dec 2021. URL: https://doi.org/10.3390/cells11010078, doi:10.3390/cells11010078. This article has 17 citations and is from a peer-reviewed journal.</w:t>
      </w:r>
    </w:p>
    <w:p>
      <w:pPr>
        <w:numPr>
          <w:ilvl w:val="0"/>
          <w:numId w:val="1002"/>
        </w:numPr>
      </w:pPr>
      <w:r>
        <w:t xml:space="preserve">(prunier2017limkinasescofilin pages 4-9): Chloé Prunier, Renaud Prudent, Reuben Kapur, Karin Sadoul, and Laurence Lafanechère. Lim kinases: cofilin and beyond. Oncotarget, 8:41749-41763, Apr 2017. URL: https://doi.org/10.18632/oncotarget.16978, doi:10.18632/oncotarget.16978. This article has 111 citations and is from a poor quality or predatory journal.</w:t>
      </w:r>
    </w:p>
    <w:p>
      <w:pPr>
        <w:numPr>
          <w:ilvl w:val="0"/>
          <w:numId w:val="1002"/>
        </w:numPr>
      </w:pPr>
      <w:r>
        <w:t xml:space="preserve">(ribba2022theroleof pages 1-2):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10-12):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13-15):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17-17):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3-4):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(salah2019lessonsfromlimk1 pages 12-13):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p>
      <w:pPr>
        <w:numPr>
          <w:ilvl w:val="0"/>
          <w:numId w:val="1002"/>
        </w:numPr>
      </w:pPr>
      <w:r>
        <w:t xml:space="preserve">(shah2023limk2amultifaceted pages 13-16):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3-4):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4-6):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(villalonga2023limkinaseslimk1 pages 1-2):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10-11):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11-13):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2-6):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31-32):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6-7):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7-9):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(berabez2022limkinasespromising pages 21-22): Rayan Berabez, Sylvain Routier, Hélène Bénédetti, Karen Plé, and Béatrice Vallée. Lim kinases, promising but reluctant therapeutic targets: chemistry and preclinical validation in vivo. Cells, 11:2090, Jun 2022. URL: https://doi.org/10.3390/cells11132090, doi:10.3390/cells11132090. This article has 16 citations and is from a peer-reviewed journal.</w:t>
      </w:r>
    </w:p>
    <w:p>
      <w:pPr>
        <w:numPr>
          <w:ilvl w:val="0"/>
          <w:numId w:val="1002"/>
        </w:numPr>
      </w:pPr>
      <w:r>
        <w:t xml:space="preserve">(brion2021limkinasesin pages 1-2):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(brown2016investigatingtheactin pages 28-33): J Brown. Investigating the actin cytoskeleton in cancer. Unknown journal, 2016.</w:t>
      </w:r>
    </w:p>
    <w:p>
      <w:pPr>
        <w:numPr>
          <w:ilvl w:val="0"/>
          <w:numId w:val="1002"/>
        </w:numPr>
      </w:pPr>
      <w:r>
        <w:t xml:space="preserve">(fraboulet2022theroleof pages 10-12):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17-17):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3-4): S Fraboulet and L Lafanechère. The role of lim kinases during development: a lens to get a glimpse of their implication in pathologies. cells 2022; 11: 403. Unknown journal, 2022.</w:t>
      </w:r>
    </w:p>
    <w:p>
      <w:pPr>
        <w:numPr>
          <w:ilvl w:val="0"/>
          <w:numId w:val="1002"/>
        </w:numPr>
      </w:pPr>
      <w:r>
        <w:t xml:space="preserve">(salah2019lessonsfromlimk1 pages 1-2):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p>
      <w:pPr>
        <w:numPr>
          <w:ilvl w:val="0"/>
          <w:numId w:val="1002"/>
        </w:numPr>
      </w:pPr>
      <w:r>
        <w:t xml:space="preserve">(salah2019lessonsfromlimk1 pages 2-2):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2025-05-22T19:23:08Z</dcterms:created>
  <dcterms:modified xsi:type="dcterms:W3CDTF">2025-05-22T19:23:08Z</dcterms:modified>
</cp:coreProperties>
</file>

<file path=docProps/custom.xml><?xml version="1.0" encoding="utf-8"?>
<Properties xmlns="http://schemas.openxmlformats.org/officeDocument/2006/custom-properties" xmlns:vt="http://schemas.openxmlformats.org/officeDocument/2006/docPropsVTypes"/>
</file>