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CHK2, encoded by the CHEK2 gene and alternatively referred to as CDS1, RAD53, or CHK2 checkpoint homolog, is a highly conserved serine/threonine-protein kinase that plays a central role in the DNA damage response. Phylogenetically, CHK2 is a member of the checkpoint kinase family within the larger CMGC group of kinases, a cluster that also includes cyclin‐dependent kinases (CDKs), mitogen‐activated protein kinases (MAPKs), glycogen synthase kinase 3 (GSK3), and CDC‐like kinases (CLK). The evolutionary history of CHK2 can be traced back to lower eukaryotes, being closely related to the yeast Rad53 and Cds1 proteins. Such evolutionary conservation across species—from yeast to mammals—highlights the fundamental importance of CHK2 in regulating cell cycle checkpoints and maintaining genomic stability (black2024chk2sustainsplk1 pages 32-35, henkel2022alterationsinprotein pages 8-10). Comparative sequence analyses and phylogenetic reconstructions indicate that the modular domains of CHK2 (the SQ/TQ cluster domain, the forkhead-associated [FHA] domain, and the catalytic kinase domain) are preserved across diverse species, underscoring its conserved function in detecting DNA double‐strand breaks and coordinating the downstream repair processes (sechi2022minorkinaseswith pages 9-10, mustofa2020rolesofchk2chek2 pages 1-4). This deep conservation within the kinome also positions CHK2 as a key node in the DNA damage response (DDR) network that emerged early in eukaryotic evolution, operating downstream of apical kinases such as ATM, ATR, and DNA-PKcs (black2024chk2sustainsplk1 pages 32-35, oropeza2023molecularportraitsof pages 2-3).</w:t>
      </w:r>
    </w:p>
    <w:p>
      <w:pPr>
        <w:numPr>
          <w:ilvl w:val="0"/>
          <w:numId w:val="1001"/>
        </w:numPr>
      </w:pPr>
      <w:r>
        <w:t xml:space="preserve">Reaction Catalyzed</w:t>
      </w:r>
      <w:r>
        <w:br/>
      </w:r>
      <w:r>
        <w:t xml:space="preserve">CHK2 is a serine/threonine kinase that catalyzes the transfer of a phosphate group from ATP to specific serine or threonine residues on its substrate proteins. The biochemical reaction it mediates can be described by the following equation:</w:t>
      </w:r>
      <w:r>
        <w:br/>
      </w:r>
      <w:r>
        <w:t xml:space="preserve">  ATP + [protein substrate] → ADP + [protein substrate]-phospho(serine/threonine) + H⁺.</w:t>
      </w:r>
      <w:r>
        <w:br/>
      </w:r>
      <w:r>
        <w:t xml:space="preserve">This phosphotransfer reaction is highly specific, with CHK2 showing a preference for phosphorylating substrates that contain the consensus motif [L-X-R-X-X-S/T] (black2024chk2sustainsplk1 pages 12-15, chen2023useofai pages 185-189). When CHK2 phosphorylates its targets, it modulates their activities in a manner that ultimately enforces cell cycle checkpoint arrest, stimulates DNA repair via homologous recombination, and triggers programmed cell death (apoptosis) when the level of DNA damage is too severe. In addition to the typical function of phosphorylating proteins, this reaction is central to the transmission of DNA damage signals, ensuring that the cell does not progress through the cycle with damaged DNA (black2024chk2sustainsplk1 pages 32-35, chen2023useofai pages 185-189).</w:t>
      </w:r>
    </w:p>
    <w:p>
      <w:pPr>
        <w:numPr>
          <w:ilvl w:val="0"/>
          <w:numId w:val="1001"/>
        </w:numPr>
      </w:pPr>
      <w:r>
        <w:t xml:space="preserve">Cofactor Requirements</w:t>
      </w:r>
      <w:r>
        <w:br/>
      </w:r>
      <w:r>
        <w:t xml:space="preserve">The catalytic activity of CHK2, like that of many serine/threonine kinases, is dependent on the presence of magnesium ions (Mg²⁺), which serve as essential cofactors. Mg²⁺ ions coordinate with ATP in the active site of the kinase to facilitate the transfer of the γ-phosphate group to the target serine or threonine residue on the substrate (chen2023useofai pages 185-189, black2024chk2sustainsplk1 pages 12-15). ATP functions as the phosphate donor in this reaction, and the divalent metal ion ensures proper orientation and stabilization of the transition state during phosphoryl transfer, ultimately optimizing enzyme efficiency. No additional cofactors beyond Mg²⁺ and ATP have been definitively reported for CHK2 activity, a requirement that is consistent with the biochemical profiles of other kinases within the CMGC group (jha2025deeplearningcoupledproximity pages 24-26).</w:t>
      </w:r>
    </w:p>
    <w:p>
      <w:pPr>
        <w:numPr>
          <w:ilvl w:val="0"/>
          <w:numId w:val="1001"/>
        </w:numPr>
      </w:pPr>
      <w:r>
        <w:t xml:space="preserve">Substrate Specificity</w:t>
      </w:r>
      <w:r>
        <w:br/>
      </w:r>
      <w:r>
        <w:t xml:space="preserve">CHK2 exhibits a distinct substrate specificity that is determined largely by the recognition of a consensus phosphorylation motif. The preferred motif for CHK2 is [L-X-R-X-X-S/T], where “L” indicates leucine, “R” indicates arginine, and “S/T” represents the serine or threonine that is phosphorylated (black2024chk2sustainsplk1 pages 12-15, chen2023useofai pages 185-189). Functionally, this specificity enables CHK2 to target several physiologically relevant substrates that play critical roles in cell cycle control, DNA repair, and the apoptotic response. For example, the CDC25 family of phosphatases—including CDC25A, CDC25B, and CDC25C—are well-established substrates; phosphorylation by CHK2 inactivates these phosphatases, which in turn leads to an increase in the inhibitory tyrosine phosphorylation on CDK-cyclin complexes, thereby blocking cell cycle progression (black2024chk2sustainsplk1 pages 12-15, chen2023useofai pages 37-40). In addition, CHK2 phosphorylates BRCA2, a key mediator in homologous recombination repair, thereby enhancing the recruitment of RAD51 to damaged chromatin (black2024chk2sustainsplk1 pages 32-35). Transcription factors such as FOXM1 and E2F1 are also substrates; their phosphorylation by CHK2 stimulates the transcription of genes that are essential for DNA repair and the apoptotic cascade (chen2023useofai pages 185-189, chen2023useofai pages 37-40). Furthermore, the phosphorylation of p53 at Ser-20 by CHK2 helps alleviate the inhibitory effects mediated by MDM2, leading to stabilization and activation of p53 in response to DNA damage (henkel2022alterationsinprotein pages 13-18, chen2023useofai pages 37-40). Collectively, these substrate interactions underscore CHK2’s critical role in coordinating a multifaceted response to genomic insults.</w:t>
      </w:r>
    </w:p>
    <w:p>
      <w:pPr>
        <w:numPr>
          <w:ilvl w:val="0"/>
          <w:numId w:val="1001"/>
        </w:numPr>
      </w:pPr>
      <w:r>
        <w:t xml:space="preserve">Structure</w:t>
      </w:r>
      <w:r>
        <w:br/>
      </w:r>
      <w:r>
        <w:t xml:space="preserve">The human CHK2 protein is composed of approximately 543 amino acids and is organized into a modular structure that includes three principal domains. First, the N-terminal region contains the SQ/TQ cluster domain (SCD), which is characterized by multiple serine-glutamine (SQ) and threonine-glutamine (TQ) motifs. This region serves as a key site for phosphorylation by upstream kinases such as ATM, and its modification is crucial for the initiation of CHK2 activation (henkel2022alterationsinprotein pages 8-10, mccarthyleo2024comprehensiveanalysisof pages 1-2). Next, central to CHK2’s function is the forkhead-associated (FHA) domain, a phosphopeptide binding module that mediates protein–protein interactions required for homodimerization. The dimerization process is driven predominantly by the binding of the FHA domain to a phosphorylated residue within the SCD of a partner CHK2 molecule (horne2024unconventionalbindingof pages 7-9, kannan2018liangchinhuang1karen pages 3-5). The final C-terminal portion of the protein harbors the catalytic serine/threonine kinase domain, which is responsible for the enzyme’s phosphotransferase activity. Within this domain, several key residues are essential for catalysis, including those that form the ATP-binding pocket and the activation loop. Notably, residue K373 has been identified as critical for regulatory interactions; mutations in this region, such as substitutions at K373, can significantly impact CHK2 activity and have been implicated in altered responses to DNA damage (horne2024unconventionalbindingof pages 17-20, singh2024discriminatingactivatingdeactivating pages 12-14). In addition to its structured domains, CHK2 also contains regions of intrinsic disorder flanking its ordered domains, which may contribute to flexible protein–protein interactions and regulatory dynamics. Although high-resolution crystal structures and AlphaFold models confirm the overall kinase fold with a bilobal architecture typical for protein kinases, the dynamic regulatory regions offer additional layers of control over CHK2’s activity (mccarthyleo2024comprehensiveanalysisof pages 17-18, huang2018integrativeannotationand pages 5-8).</w:t>
      </w:r>
    </w:p>
    <w:p>
      <w:pPr>
        <w:numPr>
          <w:ilvl w:val="0"/>
          <w:numId w:val="1001"/>
        </w:numPr>
      </w:pPr>
      <w:r>
        <w:t xml:space="preserve">Regulation</w:t>
      </w:r>
      <w:r>
        <w:br/>
      </w:r>
      <w:r>
        <w:t xml:space="preserve">The regulation of CHK2 is multifaceted, relying on an intricate interplay of post-translational modifications and protein–protein interactions that enable a swift and appropriate response to DNA damage. The primary event in CHK2 activation is the phosphorylation of threonine 68 (T68) within the SQ/TQ cluster domain by the ATM kinase, which is rapidly engaged upon the occurrence of DNA double-strand breaks (mustofa2020rolesofchk2chek2 pages 1-4, horne2024unconventionalbindingof pages 7-9). Phosphorylation of T68 is pivotal as it promotes CHK2 dimerization through the interaction between the phosphorylated SQ/TQ domain of one CHK2 molecule and the FHA domain of another, a step that is essential for subsequent trans-autophosphorylation events within the kinase domain’s activation loop (henkel2022alterationsinprotein pages 8-10, sechi2022minorkinaseswith pages 9-10). Once dimerized, CHK2 undergoes additional autophosphorylation at residues located in the activation loop, thereby achieving full catalytic activation. In addition to these phosphorylation events, CHK2 can be regulated by ubiquitination—a process that mediates its degradation or alters its subcellular localization—further fine-tuning the cellular response during the DNA damage response (chen2023useofai pages 37-40, sechi2022minorkinaseswith pages 16-18).</w:t>
      </w:r>
      <w:r>
        <w:br/>
      </w:r>
      <w:r>
        <w:t xml:space="preserve">Moreover, an unconventional regulatory mechanism operating via Ca²⁺-calmodulin binding has been identified; unlike classical CaM-dependent kinases where CaM binding typically activates the enzyme, in the case of CHK2, the binding of Ca²⁺-calmodulin directly to the kinase domain has been shown to inhibit its catalytic activity (horne2024unconventionalbindingof pages 1-4, horne2024unconventionalbindingof pages 26-33). This inhibitory mechanism offers a novel cross-talk between calcium signaling and the DDR, modulating CHK2 activity under conditions where calcium levels fluctuate. Additional regulatory inputs include the interaction with the CCAR2-SIRT1 complex, which contributes to the inhibition of SIRT1, and the phosphorylation of TRIM32 at Ser-55 under oxidative stress—a modification that promotes ATG7 ubiquitination and autophagosome assembly, thereby linking CHK2 activity to autophagy regulation (black2024chk2sustainsplk1 pages 12-15, chen2023useofai pages 185-189). Collectively, these layers of regulation ensure that CHK2 activity is precisely modulated in response to diverse cellular stresses, thereby maintaining genomic integrity.</w:t>
      </w:r>
    </w:p>
    <w:p>
      <w:pPr>
        <w:numPr>
          <w:ilvl w:val="0"/>
          <w:numId w:val="1001"/>
        </w:numPr>
      </w:pPr>
      <w:r>
        <w:t xml:space="preserve">Function</w:t>
      </w:r>
      <w:r>
        <w:br/>
      </w:r>
      <w:r>
        <w:t xml:space="preserve">CHK2 functions as a central mediator in the cellular response to DNA double-strand breaks. Upon activation by DNA damage, CHK2 phosphorylates a range of substrates that collectively contribute to cell cycle arrest, DNA repair, and apoptosis. One of its principal roles is the phosphorylation of CDC25 phosphatases—specifically CDC25A, CDC25B, and CDC25C—which results in their inhibition. This phosphorylation event prevents the dephosphorylation and subsequent activation of cyclin-dependent kinases (CDKs), thereby enforcing a halt in cell cycle progression until the DNA repair machinery has rectified the damage (black2024chk2sustainsplk1 pages 12-15, chen2023useofai pages 185-189). In the context of DNA repair, CHK2 phosphorylates BRCA2, enhancing the recruitment and chromatin association of RAD51, a critical mediator of homologous recombination repair. This activity not only facilitates error-free repair of DNA lesions but also helps preserve genomic stability (black2024chk2sustainsplk1 pages 32-35, henkel2022alterationsinprotein pages 13-18).</w:t>
      </w:r>
      <w:r>
        <w:br/>
      </w:r>
      <w:r>
        <w:t xml:space="preserve">In addition to these roles, CHK2 is instrumental in regulating apoptosis. It phosphorylates the tumor suppressor p53 at Ser-20, which reduces the inhibitory interaction with MDM2, thus leading to the stabilization and activation of p53. Activated p53 in turn initiates the transcription of genes that promote cell cycle arrest and apoptosis, ensuring that cells harboring irreparable DNA damage are efficiently removed (chen2023useofai pages 37-40, henkel2022alterationsinprotein pages 13-18). Further, CHK2 targets additional substrates such as NEK6, which has been implicated in G2/M cell cycle arrest, and transcription factors including FOXM1 and E2F1, which regulate the expression of genes involved in DNA repair and apoptosis, respectively (black2024chk2sustainsplk1 pages 12-15, chen2023useofai pages 185-189). Beyond the canonical DNA damage response, emerging evidence suggests that CHK2 plays roles independent of DNA damage—for instance, in the regulation of mitotic spindle assembly through the phosphorylation of BRCA1 and in the modulation of autophagy via TRIM32 phosphorylation (black2024chk2sustainsplk1 pages 32-35, chen2023useofai pages 185-189). Through these multifaceted functions, CHK2 acts not only as a sensor and transducer of DNA damage signals but also as an arbiter of cell fate decisions, functioning as a crucial tumor suppressor whose inactivation is associated with increased chromosomal instability and cancer predisposition (bychkovsky2022differencesincancer pages 8-8, spachmann2020lossofchek2 pages 7-8).</w:t>
      </w:r>
    </w:p>
    <w:p>
      <w:pPr>
        <w:numPr>
          <w:ilvl w:val="0"/>
          <w:numId w:val="1001"/>
        </w:numPr>
      </w:pPr>
      <w:r>
        <w:t xml:space="preserve">Other Comments</w:t>
      </w:r>
      <w:r>
        <w:br/>
      </w:r>
      <w:r>
        <w:t xml:space="preserve">Apart from its well-characterized roles in cell cycle checkpoint control, DNA repair, and apoptosis, CHK2 is implicated in several additional cellular processes and disease states that have attracted significant research interest. CHK2’s function as a tumor suppressor is underscored by the observation that loss or mutation of its activity is correlated with chromosomal instability and an increased incidence of cancers such as breast, prostate, and thyroid cancers (mccarthyleo2024comprehensiveanalysisof pages 19-20, lima2019recentadvancesof pages 6-8). Specific mutations, including truncating mutations like CHEK2 c.1100delC and missense changes affecting key catalytic residues (e.g., K373 mutations), have been linked to impaired kinase function and defective DNA damage response pathways. Such mutations are frequently observed in patient-derived tumor samples and have been the subject of extensive functional analyses in order to determine their impact on protein activity and cancer risk (kumar2018discerningdriversof pages 113-118, singh2024discriminatingactivatingdeactivating pages 12-14).</w:t>
      </w:r>
      <w:r>
        <w:br/>
      </w:r>
      <w:r>
        <w:t xml:space="preserve">In recent years, novel approaches that integrate deep learning with proximity proteomics have provided further insights into the dynamic kinase–substrate networks in which CHK2 participates, improving our understanding of its regulatory mechanisms and substrate specificity (jha2025deeplearningcoupledproximity pages 12-14, jha2025deeplearningcoupledproximity pages 24-26). Moreover, multi-omics data integration efforts have enriched the annotation of post-translational modifications in CHK2, assisting in the identification of cancer-associated variants and highlighting potential targets for therapeutic intervention (huang2018integrativeannotationand pages 5-8, kannan2018liangchinhuang1karen pages 3-5).</w:t>
      </w:r>
      <w:r>
        <w:br/>
      </w:r>
      <w:r>
        <w:t xml:space="preserve">On the therapeutic front, experimental inhibitors such as BML-277 and other chemical probes have been used to interrogate CHK2 function in preclinical studies, though no CHK2-specific inhibitor has yet achieved clinical approval. The exploration of CHK2 inhibitors remains an active area of research, particularly in the context of sensitizing tumor cells to DNA-damaging agents and other chemotherapeutic interventions (essegian2023aiassistedchemicalprobe pages 19-21, spachmann2020lossofchek2 pages 7-8). Current research is also examining how aberrant CHK2 signaling might contribute to resistance against conventional therapies and investigating combinatorial strategies that target CHK2 alongside other DDR components. Consequently, CHK2 continues to be a critical focus in both basic research and translational studies aimed at improving cancer treatment and patient outcomes.</w:t>
      </w:r>
    </w:p>
    <w:p>
      <w:pPr>
        <w:numPr>
          <w:ilvl w:val="0"/>
          <w:numId w:val="1001"/>
        </w:numPr>
      </w:pPr>
      <w:r>
        <w:t xml:space="preserve">References</w:t>
      </w:r>
      <w:r>
        <w:br/>
      </w:r>
      <w:r>
        <w:t xml:space="preserve">[1] black2024chk2sustainsplk1 pages 12-15</w:t>
      </w:r>
      <w:r>
        <w:br/>
      </w:r>
      <w:r>
        <w:t xml:space="preserve">[2] black2024chk2sustainsplk1 pages 19-22</w:t>
      </w:r>
      <w:r>
        <w:br/>
      </w:r>
      <w:r>
        <w:t xml:space="preserve">[3] black2024chk2sustainsplk1 pages 32-35</w:t>
      </w:r>
      <w:r>
        <w:br/>
      </w:r>
      <w:r>
        <w:t xml:space="preserve">[4] bychkovsky2022differencesincancer pages 8-8</w:t>
      </w:r>
      <w:r>
        <w:br/>
      </w:r>
      <w:r>
        <w:t xml:space="preserve">[5] chen2023useofai pages 185-189</w:t>
      </w:r>
      <w:r>
        <w:br/>
      </w:r>
      <w:r>
        <w:t xml:space="preserve">[6] chen2023useofai pages 37-40</w:t>
      </w:r>
      <w:r>
        <w:br/>
      </w:r>
      <w:r>
        <w:t xml:space="preserve">[7] chen2024chek2knockoutis pages 4-5</w:t>
      </w:r>
      <w:r>
        <w:br/>
      </w:r>
      <w:r>
        <w:t xml:space="preserve">[8] essegian2023aiassistedchemicalprobe pages 19-21</w:t>
      </w:r>
      <w:r>
        <w:br/>
      </w:r>
      <w:r>
        <w:t xml:space="preserve">[9] gasiorperczak2024relationshipbetweenthe pages 1-2</w:t>
      </w:r>
      <w:r>
        <w:br/>
      </w:r>
      <w:r>
        <w:t xml:space="preserve">[10] henkel2022alterationsinprotein pages 13-18</w:t>
      </w:r>
      <w:r>
        <w:br/>
      </w:r>
      <w:r>
        <w:t xml:space="preserve">[11] henkel2022alterationsinprotein pages 8-10</w:t>
      </w:r>
      <w:r>
        <w:br/>
      </w:r>
      <w:r>
        <w:t xml:space="preserve">[12] horne2024unconventionalbindingof pages 1-4</w:t>
      </w:r>
      <w:r>
        <w:br/>
      </w:r>
      <w:r>
        <w:t xml:space="preserve">[13] horne2024unconventionalbindingof pages 17-20</w:t>
      </w:r>
      <w:r>
        <w:br/>
      </w:r>
      <w:r>
        <w:t xml:space="preserve">[14] horne2024unconventionalbindingof pages 26-33</w:t>
      </w:r>
      <w:r>
        <w:br/>
      </w:r>
      <w:r>
        <w:t xml:space="preserve">[15] horne2024unconventionalbindingof pages 33-34</w:t>
      </w:r>
      <w:r>
        <w:br/>
      </w:r>
      <w:r>
        <w:t xml:space="preserve">[16] horne2024unconventionalbindingof pages 4-7</w:t>
      </w:r>
      <w:r>
        <w:br/>
      </w:r>
      <w:r>
        <w:t xml:space="preserve">[17] horne2024unconventionalbindingof pages 7-9</w:t>
      </w:r>
      <w:r>
        <w:br/>
      </w:r>
      <w:r>
        <w:t xml:space="preserve">[18] huang2018integrativeannotationand pages 5-8</w:t>
      </w:r>
      <w:r>
        <w:br/>
      </w:r>
      <w:r>
        <w:t xml:space="preserve">[19] jha2025deeplearningcoupledproximity pages 12-14</w:t>
      </w:r>
      <w:r>
        <w:br/>
      </w:r>
      <w:r>
        <w:t xml:space="preserve">[20] jha2025deeplearningcoupledproximity pages 24-26</w:t>
      </w:r>
      <w:r>
        <w:br/>
      </w:r>
      <w:r>
        <w:t xml:space="preserve">[21] kannan2018liangchinhuang1karen pages 3-5</w:t>
      </w:r>
      <w:r>
        <w:br/>
      </w:r>
      <w:r>
        <w:t xml:space="preserve">[22] kannan2018liangchinhuang1karen pages 5-8</w:t>
      </w:r>
      <w:r>
        <w:br/>
      </w:r>
      <w:r>
        <w:t xml:space="preserve">[23] kumar2018discerningdriversof pages 113-118</w:t>
      </w:r>
      <w:r>
        <w:br/>
      </w:r>
      <w:r>
        <w:t xml:space="preserve">[24] lima2019recentadvancesof pages 6-8</w:t>
      </w:r>
      <w:r>
        <w:br/>
      </w:r>
      <w:r>
        <w:t xml:space="preserve">[25] mccarthyleo2024comprehensiveanalysisof pages 1-2</w:t>
      </w:r>
      <w:r>
        <w:br/>
      </w:r>
      <w:r>
        <w:t xml:space="preserve">[26] mccarthyleo2024comprehensiveanalysisof pages 16-17</w:t>
      </w:r>
      <w:r>
        <w:br/>
      </w:r>
      <w:r>
        <w:t xml:space="preserve">[27] mccarthyleo2024comprehensiveanalysisof pages 17-18</w:t>
      </w:r>
      <w:r>
        <w:br/>
      </w:r>
      <w:r>
        <w:t xml:space="preserve">[28] mccarthyleo2024comprehensiveanalysisof pages 19-20</w:t>
      </w:r>
      <w:r>
        <w:br/>
      </w:r>
      <w:r>
        <w:t xml:space="preserve">[29] mccarthyleo2024comprehensiveanalysisof pages 7-9</w:t>
      </w:r>
      <w:r>
        <w:br/>
      </w:r>
      <w:r>
        <w:t xml:space="preserve">[30] mustofa2020rolesofchk2chek2 pages 1-4</w:t>
      </w:r>
      <w:r>
        <w:br/>
      </w:r>
      <w:r>
        <w:t xml:space="preserve">[31] oropeza2023molecularportraitsof pages 2-3</w:t>
      </w:r>
      <w:r>
        <w:br/>
      </w:r>
      <w:r>
        <w:t xml:space="preserve">[32] ostermaier2021acomprehensiveanalysis pages 76-78</w:t>
      </w:r>
      <w:r>
        <w:br/>
      </w:r>
      <w:r>
        <w:t xml:space="preserve">[33] qin2023maintaininggenomeintegrity pages 2-4</w:t>
      </w:r>
      <w:r>
        <w:br/>
      </w:r>
      <w:r>
        <w:t xml:space="preserve">[34] sechi2022minorkinaseswith pages 16-18</w:t>
      </w:r>
      <w:r>
        <w:br/>
      </w:r>
      <w:r>
        <w:t xml:space="preserve">[35] sechi2022minorkinaseswith pages 9-10</w:t>
      </w:r>
      <w:r>
        <w:br/>
      </w:r>
      <w:r>
        <w:t xml:space="preserve">[36] singh2024discriminatingactivatingdeactivating pages 12-14</w:t>
      </w:r>
      <w:r>
        <w:br/>
      </w:r>
      <w:r>
        <w:t xml:space="preserve">[37] southekal2021integrativeanalysisof pages 19-25</w:t>
      </w:r>
      <w:r>
        <w:br/>
      </w:r>
      <w:r>
        <w:t xml:space="preserve">[38] spachmann2020lossofchek2 pages 7-8</w:t>
      </w:r>
    </w:p>
    <w:p>
      <w:pPr>
        <w:pStyle w:val="FirstParagraph"/>
      </w:pPr>
      <w:r>
        <w:t xml:space="preserve">References</w:t>
      </w:r>
    </w:p>
    <w:p>
      <w:pPr>
        <w:numPr>
          <w:ilvl w:val="0"/>
          <w:numId w:val="1002"/>
        </w:numPr>
      </w:pPr>
      <w:r>
        <w:t xml:space="preserve">(black2024chk2sustainsplk1 pages 12-15): Elizabeth M. Black, Carlos Andrés Ramírez Parrado, Isabelle Trier, Wenxue Li, Yoon Ki Joo, Jennifer Pichurin, Yansheng Liu, and Lilian Kabeche. Chk2 sustains plk1 activity in mitosis to ensure proper chromosome segregation. BioRxiv, Mar 2024. URL: https://doi.org/10.1101/2024.03.08.584115, doi:10.1101/2024.03.08.584115. This article has 2 citations.</w:t>
      </w:r>
    </w:p>
    <w:p>
      <w:pPr>
        <w:numPr>
          <w:ilvl w:val="0"/>
          <w:numId w:val="1002"/>
        </w:numPr>
      </w:pPr>
      <w:r>
        <w:t xml:space="preserve">(black2024chk2sustainsplk1 pages 19-22): Elizabeth M. Black, Carlos Andrés Ramírez Parrado, Isabelle Trier, Wenxue Li, Yoon Ki Joo, Jennifer Pichurin, Yansheng Liu, and Lilian Kabeche. Chk2 sustains plk1 activity in mitosis to ensure proper chromosome segregation. BioRxiv, Mar 2024. URL: https://doi.org/10.1101/2024.03.08.584115, doi:10.1101/2024.03.08.584115. This article has 2 citations.</w:t>
      </w:r>
    </w:p>
    <w:p>
      <w:pPr>
        <w:numPr>
          <w:ilvl w:val="0"/>
          <w:numId w:val="1002"/>
        </w:numPr>
      </w:pPr>
      <w:r>
        <w:t xml:space="preserve">(black2024chk2sustainsplk1 pages 32-35): Elizabeth M. Black, Carlos Andrés Ramírez Parrado, Isabelle Trier, Wenxue Li, Yoon Ki Joo, Jennifer Pichurin, Yansheng Liu, and Lilian Kabeche. Chk2 sustains plk1 activity in mitosis to ensure proper chromosome segregation. BioRxiv, Mar 2024. URL: https://doi.org/10.1101/2024.03.08.584115, doi:10.1101/2024.03.08.584115. This article has 2 citations.</w:t>
      </w:r>
    </w:p>
    <w:p>
      <w:pPr>
        <w:numPr>
          <w:ilvl w:val="0"/>
          <w:numId w:val="1002"/>
        </w:numPr>
      </w:pPr>
      <w:r>
        <w:t xml:space="preserve">(bychkovsky2022differencesincancer pages 8-8): Brittany L. Bychkovsky, Nihat B. Agaoglu, Carolyn Horton, Jing Zhou, Amal Yussuf, Parichehr Hemyari, Marcy E. Richardson, Colin Young, Holly LaDuca, Deborah L. McGuinness, Rochelle Scheib, Judy E. Garber, and Huma Q. Rana. Differences in cancer phenotypes among frequent</w:t>
      </w:r>
      <w:r>
        <w:t xml:space="preserve"> </w:t>
      </w:r>
      <w:r>
        <w:t xml:space="preserve">chek2</w:t>
      </w:r>
      <w:r>
        <w:t xml:space="preserve"> </w:t>
      </w:r>
      <w:r>
        <w:t xml:space="preserve">variants and implications for clinical care—checking</w:t>
      </w:r>
      <w:r>
        <w:t xml:space="preserve"> </w:t>
      </w:r>
      <w:r>
        <w:t xml:space="preserve">chek2</w:t>
      </w:r>
      <w:r>
        <w:t xml:space="preserve">. JAMA Oncology, 8:1598, Nov 2022. URL: https://doi.org/10.1001/jamaoncol.2022.4071, doi:10.1001/jamaoncol.2022.4071. This article has 64 citations and is from a highest quality peer-reviewed journal.</w:t>
      </w:r>
    </w:p>
    <w:p>
      <w:pPr>
        <w:numPr>
          <w:ilvl w:val="0"/>
          <w:numId w:val="1002"/>
        </w:numPr>
      </w:pPr>
      <w:r>
        <w:t xml:space="preserve">(chen2023useofai pages 185-189): YK Chen. Use of ai for the development of two new early drug discovery techniques: deep and transfer learning for logp prediction and dimensionality reduction for …. Unknown journal, 2023.</w:t>
      </w:r>
    </w:p>
    <w:p>
      <w:pPr>
        <w:numPr>
          <w:ilvl w:val="0"/>
          <w:numId w:val="1002"/>
        </w:numPr>
      </w:pPr>
      <w:r>
        <w:t xml:space="preserve">(chen2023useofai pages 37-40): YK Chen. Use of ai for the development of two new early drug discovery techniques: deep and transfer learning for logp prediction and dimensionality reduction for …. Unknown journal, 2023.</w:t>
      </w:r>
    </w:p>
    <w:p>
      <w:pPr>
        <w:numPr>
          <w:ilvl w:val="0"/>
          <w:numId w:val="1002"/>
        </w:numPr>
      </w:pPr>
      <w:r>
        <w:t xml:space="preserve">(chen2024chek2knockoutis pages 4-5): Yuyan Chen, Zhengyi Zhu, Xingyu Wu, Hui Li, Wenxian Guan, and Haozhen Ren. Chek2 knockout is a therapeutic target for tp53-mutated hepatocellular carcinoma. Cell Death Discovery, Jan 2024. URL: https://doi.org/10.1038/s41420-023-01777-4, doi:10.1038/s41420-023-01777-4. This article has 2 citations and is from a peer-reviewed journal.</w:t>
      </w:r>
    </w:p>
    <w:p>
      <w:pPr>
        <w:numPr>
          <w:ilvl w:val="0"/>
          <w:numId w:val="1002"/>
        </w:numPr>
      </w:pPr>
      <w:r>
        <w:t xml:space="preserve">(essegian2023aiassistedchemicalprobe pages 19-21): Derek J. Essegian, Valery Chavez, Rabia Khurshid, Jaime R. Merchan, and Stephan C. Schürer. Ai-assisted chemical probe discovery for the understudied calcium-calmodulin dependent kinase, pnck. BioRxiv, Jun 2023. URL: https://doi.org/10.1101/2022.06.01.494277, doi:10.1101/2022.06.01.494277. This article has 6 citations.</w:t>
      </w:r>
    </w:p>
    <w:p>
      <w:pPr>
        <w:numPr>
          <w:ilvl w:val="0"/>
          <w:numId w:val="1002"/>
        </w:numPr>
      </w:pPr>
      <w:r>
        <w:t xml:space="preserve">(gasiorperczak2024relationshipbetweenthe pages 1-2): Danuta Gąsior-Perczak, Artur Kowalik, Janusz Kopczyński, Paweł Macek, Kornelia Niemyska, Agnieszka Walczyk, Krzysztof Gruszczyński, Monika Siołek, Tomasz Dróżdż, Marcin Kosowski, Iwona Pałyga, Piotr Przybycień, Olga Wabik, Stanisław Góźdź, and Aldona Kowalska. Relationship between the expression of chk2 and p53 in tumor tissue and the course of papillary thyroid cancer in patients with chek2 germline mutations. Cancers, 16:815, Feb 2024. URL: https://doi.org/10.3390/cancers16040815, doi:10.3390/cancers16040815. This article has 3 citations and is from a peer-reviewed journal.</w:t>
      </w:r>
    </w:p>
    <w:p>
      <w:pPr>
        <w:numPr>
          <w:ilvl w:val="0"/>
          <w:numId w:val="1002"/>
        </w:numPr>
      </w:pPr>
      <w:r>
        <w:t xml:space="preserve">(henkel2022alterationsinprotein pages 13-18): Nicholas D. Henkel, Alex Joyce, Elizabeth Shedroff, Ali Sajid Imami, Khaled Alganem, Abdul-rizaq Hamoud, Chongchong Xu, Benjamin Siciliano, Tao Ma, Zhexing Wen, and Robert E. McCullumsmith. Alterations in protein kinase networks in astrocytes and neurons derived from patients with familial alzheimer’s disease. BioRxiv, Jun 2022. URL: https://doi.org/10.1101/2022.06.14.496149, doi:10.1101/2022.06.14.496149. This article has 1 citations.</w:t>
      </w:r>
    </w:p>
    <w:p>
      <w:pPr>
        <w:numPr>
          <w:ilvl w:val="0"/>
          <w:numId w:val="1002"/>
        </w:numPr>
      </w:pPr>
      <w:r>
        <w:t xml:space="preserve">(henkel2022alterationsinprotein pages 8-10): Nicholas D. Henkel, Alex Joyce, Elizabeth Shedroff, Ali Sajid Imami, Khaled Alganem, Abdul-rizaq Hamoud, Chongchong Xu, Benjamin Siciliano, Tao Ma, Zhexing Wen, and Robert E. McCullumsmith. Alterations in protein kinase networks in astrocytes and neurons derived from patients with familial alzheimer’s disease. BioRxiv, Jun 2022. URL: https://doi.org/10.1101/2022.06.14.496149, doi:10.1101/2022.06.14.496149. This article has 1 citations.</w:t>
      </w:r>
    </w:p>
    <w:p>
      <w:pPr>
        <w:numPr>
          <w:ilvl w:val="0"/>
          <w:numId w:val="1002"/>
        </w:numPr>
      </w:pPr>
      <w:r>
        <w:t xml:space="preserve">(horne2024unconventionalbindingof pages 1-4): Christopher R. Horne, Tingting Wang, Samuel N. Young, Toby A. Dite, Hunter G. Nyvall, Sushant Suresh, Katherine A. Davies, Lucy J. Mather, Laura F. Dagley, Gerard Manning, Anthony R. Means, John E. Burke, Janni Petersen, John W. Scott, and James M. Murphy. Unconventional binding of calmodulin to chk2 kinase inhibits catalytic activity. BioRxiv, Oct 2024. URL: https://doi.org/10.1101/2024.10.08.617309, doi:10.1101/2024.10.08.617309. This article has 1 citations.</w:t>
      </w:r>
    </w:p>
    <w:p>
      <w:pPr>
        <w:numPr>
          <w:ilvl w:val="0"/>
          <w:numId w:val="1002"/>
        </w:numPr>
      </w:pPr>
      <w:r>
        <w:t xml:space="preserve">(horne2024unconventionalbindingof pages 17-20): Christopher R. Horne, Tingting Wang, Samuel N. Young, Toby A. Dite, Hunter G. Nyvall, Sushant Suresh, Katherine A. Davies, Lucy J. Mather, Laura F. Dagley, Gerard Manning, Anthony R. Means, John E. Burke, Janni Petersen, John W. Scott, and James M. Murphy. Unconventional binding of calmodulin to chk2 kinase inhibits catalytic activity. BioRxiv, Oct 2024. URL: https://doi.org/10.1101/2024.10.08.617309, doi:10.1101/2024.10.08.617309. This article has 1 citations.</w:t>
      </w:r>
    </w:p>
    <w:p>
      <w:pPr>
        <w:numPr>
          <w:ilvl w:val="0"/>
          <w:numId w:val="1002"/>
        </w:numPr>
      </w:pPr>
      <w:r>
        <w:t xml:space="preserve">(horne2024unconventionalbindingof pages 26-33): Christopher R. Horne, Tingting Wang, Samuel N. Young, Toby A. Dite, Hunter G. Nyvall, Sushant Suresh, Katherine A. Davies, Lucy J. Mather, Laura F. Dagley, Gerard Manning, Anthony R. Means, John E. Burke, Janni Petersen, John W. Scott, and James M. Murphy. Unconventional binding of calmodulin to chk2 kinase inhibits catalytic activity. BioRxiv, Oct 2024. URL: https://doi.org/10.1101/2024.10.08.617309, doi:10.1101/2024.10.08.617309. This article has 1 citations.</w:t>
      </w:r>
    </w:p>
    <w:p>
      <w:pPr>
        <w:numPr>
          <w:ilvl w:val="0"/>
          <w:numId w:val="1002"/>
        </w:numPr>
      </w:pPr>
      <w:r>
        <w:t xml:space="preserve">(horne2024unconventionalbindingof pages 33-34): Christopher R. Horne, Tingting Wang, Samuel N. Young, Toby A. Dite, Hunter G. Nyvall, Sushant Suresh, Katherine A. Davies, Lucy J. Mather, Laura F. Dagley, Gerard Manning, Anthony R. Means, John E. Burke, Janni Petersen, John W. Scott, and James M. Murphy. Unconventional binding of calmodulin to chk2 kinase inhibits catalytic activity. BioRxiv, Oct 2024. URL: https://doi.org/10.1101/2024.10.08.617309, doi:10.1101/2024.10.08.617309. This article has 1 citations.</w:t>
      </w:r>
    </w:p>
    <w:p>
      <w:pPr>
        <w:numPr>
          <w:ilvl w:val="0"/>
          <w:numId w:val="1002"/>
        </w:numPr>
      </w:pPr>
      <w:r>
        <w:t xml:space="preserve">(horne2024unconventionalbindingof pages 4-7): Christopher R. Horne, Tingting Wang, Samuel N. Young, Toby A. Dite, Hunter G. Nyvall, Sushant Suresh, Katherine A. Davies, Lucy J. Mather, Laura F. Dagley, Gerard Manning, Anthony R. Means, John E. Burke, Janni Petersen, John W. Scott, and James M. Murphy. Unconventional binding of calmodulin to chk2 kinase inhibits catalytic activity. BioRxiv, Oct 2024. URL: https://doi.org/10.1101/2024.10.08.617309, doi:10.1101/2024.10.08.617309. This article has 1 citations.</w:t>
      </w:r>
    </w:p>
    <w:p>
      <w:pPr>
        <w:numPr>
          <w:ilvl w:val="0"/>
          <w:numId w:val="1002"/>
        </w:numPr>
      </w:pPr>
      <w:r>
        <w:t xml:space="preserve">(horne2024unconventionalbindingof pages 7-9): Christopher R. Horne, Tingting Wang, Samuel N. Young, Toby A. Dite, Hunter G. Nyvall, Sushant Suresh, Katherine A. Davies, Lucy J. Mather, Laura F. Dagley, Gerard Manning, Anthony R. Means, John E. Burke, Janni Petersen, John W. Scott, and James M. Murphy. Unconventional binding of calmodulin to chk2 kinase inhibits catalytic activity. BioRxiv, Oct 2024. URL: https://doi.org/10.1101/2024.10.08.617309, doi:10.1101/2024.10.08.617309. This article has 1 citations.</w:t>
      </w:r>
    </w:p>
    <w:p>
      <w:pPr>
        <w:numPr>
          <w:ilvl w:val="0"/>
          <w:numId w:val="1002"/>
        </w:numPr>
      </w:pPr>
      <w:r>
        <w:t xml:space="preserve">(huang2018integrativeannotationand pages 5-8): Liang-Chin Huang, Karen E. Ross, Timothy R. Baffi, Harold Drabkin, Krzysztof J. Kochut, Zheng Ruan, Peter D’Eustachio, Daniel McSkimming, Cecilia Arighi, Chuming Chen, Darren A. Natale, Cynthia Smith, Pascale Gaudet, Alexandra C. Newton, Cathy Wu, and Natarajan Kannan. Integrative annotation and knowledge discovery of kinase post-translational modifications and cancer-associated mutations through federated protein ontologies and resources. Scientific Reports, Apr 2018. URL: https://doi.org/10.1038/s41598-018-24457-1, doi:10.1038/s41598-018-24457-1. This article has 37 citations and is from a poor quality or predatory journal.</w:t>
      </w:r>
    </w:p>
    <w:p>
      <w:pPr>
        <w:numPr>
          <w:ilvl w:val="0"/>
          <w:numId w:val="1002"/>
        </w:numPr>
      </w:pPr>
      <w:r>
        <w:t xml:space="preserve">(jha2025deeplearningcoupledproximity pages 12-14):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(jha2025deeplearningcoupledproximity pages 24-26):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(kannan2018liangchinhuang1karen pages 3-5): N Kannan. Liang-chin huang1, karen e. ross2, timothy r. baffi3, harold drabkin4, krzysztof j. kochut5, zheng ruan, peter d’eustachio 6, daniel mcskimming7, cecilia …. Unknown journal, 2018.</w:t>
      </w:r>
    </w:p>
    <w:p>
      <w:pPr>
        <w:numPr>
          <w:ilvl w:val="0"/>
          <w:numId w:val="1002"/>
        </w:numPr>
      </w:pPr>
      <w:r>
        <w:t xml:space="preserve">(kannan2018liangchinhuang1karen pages 5-8): N Kannan. Liang-chin huang1, karen e. ross2, timothy r. baffi3, harold drabkin4, krzysztof j. kochut5, zheng ruan, peter d’eustachio 6, daniel mcskimming7, cecilia …. Unknown journal, 2018.</w:t>
      </w:r>
    </w:p>
    <w:p>
      <w:pPr>
        <w:numPr>
          <w:ilvl w:val="0"/>
          <w:numId w:val="1002"/>
        </w:numPr>
      </w:pPr>
      <w:r>
        <w:t xml:space="preserve">(kumar2018discerningdriversof pages 113-118): Runjun D. Kumar. Discerning drivers of cancer: computational approaches to somatic exome sequencing data. Unknown journal, 2018. URL: https://doi.org/10.7936/k7zg6rp3, doi:10.7936/k7zg6rp3. This article has 0 citations.</w:t>
      </w:r>
    </w:p>
    <w:p>
      <w:pPr>
        <w:numPr>
          <w:ilvl w:val="0"/>
          <w:numId w:val="1002"/>
        </w:numPr>
      </w:pPr>
      <w:r>
        <w:t xml:space="preserve">(lima2019recentadvancesof pages 6-8): Zeinab Safarpour Lima, Mostafa Ghadamzadeh, Farzad Tahmasebi Arashloo, Ghazaleh Amjad, Mohammad Reza Ebadi, and Ladan Younesi. Recent advances of therapeutic targets based on the molecular signature in breast cancer: genetic mutations and implications for current treatment paradigms. Journal of Hematology &amp; Oncology, Apr 2019. URL: https://doi.org/10.1186/s13045-019-0725-6, doi:10.1186/s13045-019-0725-6. This article has 113 citations.</w:t>
      </w:r>
    </w:p>
    <w:p>
      <w:pPr>
        <w:numPr>
          <w:ilvl w:val="0"/>
          <w:numId w:val="1002"/>
        </w:numPr>
      </w:pPr>
      <w:r>
        <w:t xml:space="preserve">(mccarthyleo2024comprehensiveanalysisof pages 1-2): Claire E. McCarthy-Leo, George S. Brush, Roger Pique-Regi, Francesca Luca, Michael A. Tainsky, and Russell L. Finley. Comprehensive analysis of the functional impact of single nucleotide variants of human chek2. PLOS Genetics, 20:e1011375, Aug 2024. URL: https://doi.org/10.1371/journal.pgen.1011375, doi:10.1371/journal.pgen.1011375. This article has 2 citations and is from a domain leading peer-reviewed journal.</w:t>
      </w:r>
    </w:p>
    <w:p>
      <w:pPr>
        <w:numPr>
          <w:ilvl w:val="0"/>
          <w:numId w:val="1002"/>
        </w:numPr>
      </w:pPr>
      <w:r>
        <w:t xml:space="preserve">(mccarthyleo2024comprehensiveanalysisof pages 16-17): Claire E. McCarthy-Leo, George S. Brush, Roger Pique-Regi, Francesca Luca, Michael A. Tainsky, and Russell L. Finley. Comprehensive analysis of the functional impact of single nucleotide variants of human chek2. PLOS Genetics, 20:e1011375, Aug 2024. URL: https://doi.org/10.1371/journal.pgen.1011375, doi:10.1371/journal.pgen.1011375. This article has 2 citations and is from a domain leading peer-reviewed journal.</w:t>
      </w:r>
    </w:p>
    <w:p>
      <w:pPr>
        <w:numPr>
          <w:ilvl w:val="0"/>
          <w:numId w:val="1002"/>
        </w:numPr>
      </w:pPr>
      <w:r>
        <w:t xml:space="preserve">(mccarthyleo2024comprehensiveanalysisof pages 17-18): Claire E. McCarthy-Leo, George S. Brush, Roger Pique-Regi, Francesca Luca, Michael A. Tainsky, and Russell L. Finley. Comprehensive analysis of the functional impact of single nucleotide variants of human chek2. PLOS Genetics, 20:e1011375, Aug 2024. URL: https://doi.org/10.1371/journal.pgen.1011375, doi:10.1371/journal.pgen.1011375. This article has 2 citations and is from a domain leading peer-reviewed journal.</w:t>
      </w:r>
    </w:p>
    <w:p>
      <w:pPr>
        <w:numPr>
          <w:ilvl w:val="0"/>
          <w:numId w:val="1002"/>
        </w:numPr>
      </w:pPr>
      <w:r>
        <w:t xml:space="preserve">(mccarthyleo2024comprehensiveanalysisof pages 19-20): Claire E. McCarthy-Leo, George S. Brush, Roger Pique-Regi, Francesca Luca, Michael A. Tainsky, and Russell L. Finley. Comprehensive analysis of the functional impact of single nucleotide variants of human chek2. PLOS Genetics, 20:e1011375, Aug 2024. URL: https://doi.org/10.1371/journal.pgen.1011375, doi:10.1371/journal.pgen.1011375. This article has 2 citations and is from a domain leading peer-reviewed journal.</w:t>
      </w:r>
    </w:p>
    <w:p>
      <w:pPr>
        <w:numPr>
          <w:ilvl w:val="0"/>
          <w:numId w:val="1002"/>
        </w:numPr>
      </w:pPr>
      <w:r>
        <w:t xml:space="preserve">(mccarthyleo2024comprehensiveanalysisof pages 7-9): Claire E. McCarthy-Leo, George S. Brush, Roger Pique-Regi, Francesca Luca, Michael A. Tainsky, and Russell L. Finley. Comprehensive analysis of the functional impact of single nucleotide variants of human chek2. PLOS Genetics, 20:e1011375, Aug 2024. URL: https://doi.org/10.1371/journal.pgen.1011375, doi:10.1371/journal.pgen.1011375. This article has 2 citations and is from a domain leading peer-reviewed journal.</w:t>
      </w:r>
    </w:p>
    <w:p>
      <w:pPr>
        <w:numPr>
          <w:ilvl w:val="0"/>
          <w:numId w:val="1002"/>
        </w:numPr>
      </w:pPr>
      <w:r>
        <w:t xml:space="preserve">(mustofa2020rolesofchk2chek2 pages 1-4): Md. Kawsar Mustofa, Yuki Tanoue, Chie Tateishi, Cyrus Vaziri, and Satoshi Tateishi. Roles of</w:t>
      </w:r>
      <w:r>
        <w:t xml:space="preserve"> </w:t>
      </w:r>
      <w:r>
        <w:t xml:space="preserve">chk2</w:t>
      </w:r>
      <w:r>
        <w:t xml:space="preserve">/</w:t>
      </w:r>
      <w:r>
        <w:t xml:space="preserve">chek2</w:t>
      </w:r>
      <w:r>
        <w:t xml:space="preserve"> </w:t>
      </w:r>
      <w:r>
        <w:t xml:space="preserve">in guarding against environmentally induced</w:t>
      </w:r>
      <w:r>
        <w:t xml:space="preserve"> </w:t>
      </w:r>
      <w:r>
        <w:t xml:space="preserve">dna</w:t>
      </w:r>
      <w:r>
        <w:t xml:space="preserve"> </w:t>
      </w:r>
      <w:r>
        <w:t xml:space="preserve">damage and replication‐stress. Environmental and Molecular Mutagenesis, 61:730-735, Jul 2020. URL: https://doi.org/10.1002/em.22397, doi:10.1002/em.22397. This article has 35 citations and is from a peer-reviewed journal.</w:t>
      </w:r>
    </w:p>
    <w:p>
      <w:pPr>
        <w:numPr>
          <w:ilvl w:val="0"/>
          <w:numId w:val="1002"/>
        </w:numPr>
      </w:pPr>
      <w:r>
        <w:t xml:space="preserve">(oropeza2023molecularportraitsof pages 2-3): Elena Oropeza, Sinem Seker, Sabrina Carrel, Aloran Mazumder, Daniel Lozano, Athena Jimenez, Sabrina N. VandenHeuvel, Dillon A. Noltensmeyer, Nindo B. Punturi, Jonathan T. Lei, Bora Lim, Susan E. Waltz, Shreya A. Raghavan, Matthew N. Bainbridge, and Svasti Haricharan. Molecular portraits of cell cycle checkpoint kinases in cancer evolution, progression, and treatment responsiveness. Science Advances, Jun 2023. URL: https://doi.org/10.1126/sciadv.adf2860, doi:10.1126/sciadv.adf2860. This article has 12 citations and is from a highest quality peer-reviewed journal.</w:t>
      </w:r>
    </w:p>
    <w:p>
      <w:pPr>
        <w:numPr>
          <w:ilvl w:val="0"/>
          <w:numId w:val="1002"/>
        </w:numPr>
      </w:pPr>
      <w:r>
        <w:t xml:space="preserve">(ostermaier2021acomprehensiveanalysis pages 76-78): M Ostermaier. A comprehensive analysis of the dna damage response by mass spectrometry-based proteomics. Unknown journal, 2021.</w:t>
      </w:r>
    </w:p>
    <w:p>
      <w:pPr>
        <w:numPr>
          <w:ilvl w:val="0"/>
          <w:numId w:val="1002"/>
        </w:numPr>
      </w:pPr>
      <w:r>
        <w:t xml:space="preserve">(qin2023maintaininggenomeintegrity pages 2-4): Sisi Qin, Ichiwa Kitty, Yalan Hao, Fei Zhao, and Wootae Kim. Maintaining genome integrity: protein kinases and phosphatases orchestrate the balancing act of dna double-strand breaks repair in cancer. International Journal of Molecular Sciences, 24:10212, Jun 2023. URL: https://doi.org/10.3390/ijms241210212, doi:10.3390/ijms241210212. This article has 9 citations and is from a peer-reviewed journal.</w:t>
      </w:r>
    </w:p>
    <w:p>
      <w:pPr>
        <w:numPr>
          <w:ilvl w:val="0"/>
          <w:numId w:val="1002"/>
        </w:numPr>
      </w:pPr>
      <w:r>
        <w:t xml:space="preserve">(sechi2022minorkinaseswith pages 16-18): Stefano Sechi, Roberto Piergentili, and Maria Grazia Giansanti. Minor kinases with major roles in cytokinesis regulation. Cells, 11:3639, Nov 2022. URL: https://doi.org/10.3390/cells11223639, doi:10.3390/cells11223639. This article has 8 citations and is from a peer-reviewed journal.</w:t>
      </w:r>
    </w:p>
    <w:p>
      <w:pPr>
        <w:numPr>
          <w:ilvl w:val="0"/>
          <w:numId w:val="1002"/>
        </w:numPr>
      </w:pPr>
      <w:r>
        <w:t xml:space="preserve">(sechi2022minorkinaseswith pages 9-10): Stefano Sechi, Roberto Piergentili, and Maria Grazia Giansanti. Minor kinases with major roles in cytokinesis regulation. Cells, 11:3639, Nov 2022. URL: https://doi.org/10.3390/cells11223639, doi:10.3390/cells11223639. This article has 8 citations and is from a peer-reviewed journal.</w:t>
      </w:r>
    </w:p>
    <w:p>
      <w:pPr>
        <w:numPr>
          <w:ilvl w:val="0"/>
          <w:numId w:val="1002"/>
        </w:numPr>
      </w:pPr>
      <w:r>
        <w:t xml:space="preserve">(singh2024discriminatingactivatingdeactivating pages 12-14): Gurdeep Singh, Torsten Schmenger, Juan Carlos Gonzalez-Sanchez, Anastasiia Kutkina, Nina Bremec, Gaurav Diwan, Pablo Mozas, Cristina López, Reiner Siebert, Rocio Sotillo, and Robert B Russell. Discriminating activating, deactivating and resistance variants in protein kinases. Unknown journal, Sep 2024. URL: https://doi.org/10.21203/rs.3.rs-5001235/v1, doi:10.21203/rs.3.rs-5001235/v1.</w:t>
      </w:r>
    </w:p>
    <w:p>
      <w:pPr>
        <w:numPr>
          <w:ilvl w:val="0"/>
          <w:numId w:val="1002"/>
        </w:numPr>
      </w:pPr>
      <w:r>
        <w:t xml:space="preserve">(southekal2021integrativeanalysisof pages 19-25): S Southekal. Integrative analysis of multi-omics kinome data and virtual screening of identified targets with pan-cancer application. Unknown journal, 2021.</w:t>
      </w:r>
    </w:p>
    <w:p>
      <w:pPr>
        <w:numPr>
          <w:ilvl w:val="0"/>
          <w:numId w:val="1002"/>
        </w:numPr>
      </w:pPr>
      <w:r>
        <w:t xml:space="preserve">(spachmann2020lossofchek2 pages 7-8): Philipp J. Spachmann, Vanessa Azzolina, Florian Weber, Matthias Evert, Markus Eckstein, Stefan Denzinger, Maximilian Burger, Wolfgang Otto, and Johannes Breyer. Loss of chek2 predicts progression in stage pt1 non-muscle-invasive bladder cancer (nmibc). Pathology &amp; Oncology Research, 26:1625-1632, Sep 2020. URL: https://doi.org/10.1007/s12253-019-00745-7, doi:10.1007/s12253-019-00745-7. This article has 9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2025-05-22T17:59:02Z</dcterms:created>
  <dcterms:modified xsi:type="dcterms:W3CDTF">2025-05-22T17:59:02Z</dcterms:modified>
</cp:coreProperties>
</file>

<file path=docProps/custom.xml><?xml version="1.0" encoding="utf-8"?>
<Properties xmlns="http://schemas.openxmlformats.org/officeDocument/2006/custom-properties" xmlns:vt="http://schemas.openxmlformats.org/officeDocument/2006/docPropsVTypes"/>
</file>