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TAO1 (TAOK1), also known as MAP3K16, MARKK, and KIAA1361, belongs to the mammalian STE20 kinase family and is classified in the germinal center kinase (GCK) subfamily 8, a subgroup within the MAP3K family involved in stress‐activated pathways. TAOK1 is evolutionarily conserved across species, with orthologs observed in organisms ranging from Drosophila (where the ortholog is designated Tao1) to mammals, and it exhibits high sequence identity, particularly within its catalytic kinase domain, relative to its paralogs TAOK2 and TAOK3. This conservation is reflected in its retention of key catalytic motifs and regulatory regions that are characteristic of the STE20 family, as described in studies reporting on its evolution and phylogenetic placement (dulovicmahlow2019denovovariants pages 1-2, fang2020thediverseroles pages 1-3, thiriet2013cytoplasmicproteinserinethreonine pages 4-7).</w:t>
      </w:r>
    </w:p>
    <w:p>
      <w:pPr>
        <w:numPr>
          <w:ilvl w:val="0"/>
          <w:numId w:val="1001"/>
        </w:numPr>
      </w:pPr>
      <w:r>
        <w:t xml:space="preserve">Reaction Catalyzed</w:t>
      </w:r>
      <w:r>
        <w:br/>
      </w:r>
      <w:r>
        <w:t xml:space="preserve">TAOK1 catalyzes the phosphorylation reaction typical of serine/threonine protein kinases. In this reaction, TAOK1 transfers a phosphate group from ATP to specific serine or threonine residues in substrate proteins, resulting in the conversion of ATP to ADP and the formation of a phosphorylated substrate along with the release of a proton. This catalytic activity positions TAOK1 as an essential mediator of phosphorylation cascades within the MAPK signaling pathways (dulovicmahlow2019denovovariants pages 2-2, fang2020thediverseroles pages 1-3).</w:t>
      </w:r>
    </w:p>
    <w:p>
      <w:pPr>
        <w:numPr>
          <w:ilvl w:val="0"/>
          <w:numId w:val="1001"/>
        </w:numPr>
      </w:pPr>
      <w:r>
        <w:t xml:space="preserve">Cofactor Requirements</w:t>
      </w:r>
      <w:r>
        <w:br/>
      </w:r>
      <w:r>
        <w:t xml:space="preserve">The catalytic activity of TAOK1 requires the presence of divalent cations, with Mg²⁺ being an essential cofactor that facilitates the binding of ATP and proper orientation of the phosphate donor within the active site of the kinase. This requirement for Mg²⁺ is a common feature among serine/threonine protein kinases, ensuring efficient catalysis during the phosphorylation process (thiriet2013cytoplasmicproteinserinethreonine pages 1-4).</w:t>
      </w:r>
    </w:p>
    <w:p>
      <w:pPr>
        <w:numPr>
          <w:ilvl w:val="0"/>
          <w:numId w:val="1001"/>
        </w:numPr>
      </w:pPr>
      <w:r>
        <w:t xml:space="preserve">Substrate Specificity</w:t>
      </w:r>
      <w:r>
        <w:br/>
      </w:r>
      <w:r>
        <w:t xml:space="preserve">TAOK1 exhibits substrate specificity consistent with its role as a serine/threonine kinase involved in multiple signaling pathways. Key substrates of TAOK1 include MAP2K3 and MAP2K6, which are upstream activators of the p38/MAPK14 cascade; by phosphorylating these MAPKKs, TAOK1 facilitates stress-responsive signaling. Additionally, TAOK1 phosphorylates MARK2 at Thr208, thereby activating MARK2 kinase activity and promoting subsequent phosphorylation events on tau protein that lead to microtubule detachment and cytoskeleton destabilization. Although an explicit consensus substrate motif for TAOK1 has not been definitively delineated, structural studies of related STE family kinases suggest that TAOK1 likely recognizes serine/threonine residues followed by hydrophobic residues, which is in line with the substrate preferences observed in kinases such as TAO2 (goldsmith2007substrateanddocking pages 7-9, byeon2024pleiotropicfunctionsof pages 1-3).</w:t>
      </w:r>
    </w:p>
    <w:p>
      <w:pPr>
        <w:numPr>
          <w:ilvl w:val="0"/>
          <w:numId w:val="1001"/>
        </w:numPr>
      </w:pPr>
      <w:r>
        <w:t xml:space="preserve">Structure</w:t>
      </w:r>
      <w:r>
        <w:br/>
      </w:r>
      <w:r>
        <w:t xml:space="preserve">TAOK1 is a large, multidomain protein consisting of 1,001 amino acids, with a defined domain architecture that is critical to its function. The N-terminal region (approximately residues 28–281) comprises the catalytic kinase domain, which is highly conserved and contains key motifs such as the glycine-rich loop, the catalytic loop, and the activation segment. These structural features, including the hydrophobic spine and the positioning of the C-helix, facilitate ATP binding and phosphoryl transfer to substrates. Beyond the kinase domain, TAOK1 contains at least two coiled-coil motifs located approximately between residues 458–651 and 754–877; these motifs are implicated in protein–protein interactions and may contribute to the regulation of substrate docking and oligomerization. Furthermore, TAOK1’s overall three-dimensional architecture, as predicted by comparative modeling and corroborated by emerging AlphaFold models, reveals a central catalytic domain flanked by regulatory regions that likely mediate interactions with signaling proteins and adaptors required for its functional diversity in cells (dulovicmahlow2019denovovariants pages 3-4, fang2020thediverseroles pages 3-5, thiriet2013cytoplasmicproteinserinethreonine pages 11-14).</w:t>
      </w:r>
    </w:p>
    <w:p>
      <w:pPr>
        <w:numPr>
          <w:ilvl w:val="0"/>
          <w:numId w:val="1001"/>
        </w:numPr>
      </w:pPr>
      <w:r>
        <w:t xml:space="preserve">Regulation</w:t>
      </w:r>
      <w:r>
        <w:br/>
      </w:r>
      <w:r>
        <w:t xml:space="preserve">TAOK1 is subject to multiple regulatory mechanisms that modulate its kinase activity and downstream signaling functions. Phosphorylation is a key regulatory modification: TAOK1 undergoes auto- and trans-phosphorylation events, with its activation being contingent upon phosphorylation of residues within its activation loop. In the context of cellular stress and DNA damage, TAOK1 is activated as part of the p38/MAPK14 stress response, where upstream signals such as DNA damage stimuli trigger its phosphorylation and subsequent activation of downstream kinases MAP2K3 and MAP2K6. Regulatory proteins and interacting partners, including molecules like TESK1 and Spred1, have been reported to modulate TAOK1’s activity by either inhibiting or facilitating its kinase function. Furthermore, in experimental settings utilizing patient-derived fibroblasts and Drosophila models, loss-of-function variants in TAOK1 lead to a marked decrease in the levels of phosphorylated TAOK1, indicating that proper phosphorylation is critical for its activity and that disruption of these modifications can affect both cell cycle progression and neuronal development (dulovicmahlow2019denovovariants pages 4-6, fang2020thediverseroles pages 8-11, byeon2024pleiotropicfunctionsof pages 4-6, timm2006signalingfrommark pages 1-2).</w:t>
      </w:r>
    </w:p>
    <w:p>
      <w:pPr>
        <w:numPr>
          <w:ilvl w:val="0"/>
          <w:numId w:val="1001"/>
        </w:numPr>
      </w:pPr>
      <w:r>
        <w:t xml:space="preserve">Function</w:t>
      </w:r>
      <w:r>
        <w:br/>
      </w:r>
      <w:r>
        <w:t xml:space="preserve">TAOK1 plays diverse roles in cellular signaling and structural regulation. Functionally, TAOK1 acts as an upstream activator of the p38/MAPK14 stress-activated MAPK cascade through phosphorylation of MAP2K3 and MAP2K6, which in turn activate p38/MAPK14 under conditions of cellular stress and DNA damage. This signaling cascade is pivotal in the DNA damage response, particularly during the G2/M transition of the cell cycle. In addition to its role in stress signaling, TAOK1 regulates cytoskeletal dynamics by phosphorylating MARK2 at Thr208. Activated MARK2 phosphorylates tau protein, leading to its dissociation from microtubules and promoting microtubule disassembly, a process that is critical for neurite extension and proper brain morphology. TAOK1 also contributes to the regulation of apoptosis by activating the MAPK8/JNK cascade, which mediates morphological changes such as cell contraction, membrane blebbing, and the formation of apoptotic bodies. Expression studies indicate that TAOK1 is highly expressed in the central nervous system, where it plays an essential role in neuronal development and migration. The impact of TAOK1 on these pathways has been underscored by genetic studies that have identified de novo loss-of-function variants in TAOK1 in individuals with neurodevelopmental disorders, characterized by developmental delay, muscular hypotonia, and dysregulated brain morphology (dulovicmahlow2019denovovariants pages 7-7, fang2020thediverseroles pages 5-8, byeon2024pleiotropicfunctionsof pages 1-3).</w:t>
      </w:r>
    </w:p>
    <w:p>
      <w:pPr>
        <w:numPr>
          <w:ilvl w:val="0"/>
          <w:numId w:val="1001"/>
        </w:numPr>
      </w:pPr>
      <w:r>
        <w:t xml:space="preserve">Other Comments</w:t>
      </w:r>
      <w:r>
        <w:br/>
      </w:r>
      <w:r>
        <w:t xml:space="preserve">TAOK1 is known by multiple aliases, including TAOK1, MAP3K16, MARKK, and KIAA1361, reflecting its discovery in various experimental contexts and its association with both MAP kinase and cytoskeletal regulatory pathways. While specific, highly selective inhibitors of TAOK1 have not yet been described in the literature, broader studies on TAO family kinases have reported the use of pan-kinase inhibitors such as staurosporine; however, these compounds lack specificity and thus limit their usefulness in dissecting TAOK1-specific functions. The clinical relevance of TAOK1 is highlighted by its involvement in neurodevelopment: de novo pathogenic variants in TAOK1 are associated with neurodevelopmental disorders, including developmental delay, microcephaly, and seizures, thereby establishing TAOK1 as a key player in the regulation of neuronal differentiation and survival. Additionally, TAOK1’s modulation of cytoskeletal stability via MARK2 and tau phosphorylation links it to processes that may contribute to neurodegenerative pathologies such as Alzheimer’s disease, although the primary association in the current literature is with developmental deficits rather than overt neurodegeneration. Therefore, further studies into TAOK1-specific inhibitors and regulatory mechanisms remain of high interest for both therapeutic targeting and the elucidation of kinase signaling cascades in health and disease (dulovicmahlow2019denovovariants pages 2-3, fang2020thediverseroles pages 11-13, thiriet2013cytoplasmicproteinserinethreonine pages 4-7, byeon2024pleiotropicfunctionsof pages 7-9).</w:t>
      </w:r>
    </w:p>
    <w:p>
      <w:pPr>
        <w:numPr>
          <w:ilvl w:val="0"/>
          <w:numId w:val="1001"/>
        </w:numPr>
      </w:pPr>
      <w:r>
        <w:t xml:space="preserve">References</w:t>
      </w:r>
      <w:r>
        <w:br/>
      </w:r>
    </w:p>
    <w:p>
      <w:pPr>
        <w:numPr>
          <w:ilvl w:val="0"/>
          <w:numId w:val="1001"/>
        </w:numPr>
      </w:pPr>
      <w:r>
        <w:t xml:space="preserve">dulovicmahlow2019denovovariants pages 1-2</w:t>
      </w:r>
      <w:r>
        <w:br/>
      </w:r>
    </w:p>
    <w:p>
      <w:pPr>
        <w:numPr>
          <w:ilvl w:val="0"/>
          <w:numId w:val="1001"/>
        </w:numPr>
      </w:pPr>
      <w:r>
        <w:t xml:space="preserve">dulovicmahlow2019denovovariants pages 2-2</w:t>
      </w:r>
      <w:r>
        <w:br/>
      </w:r>
    </w:p>
    <w:p>
      <w:pPr>
        <w:numPr>
          <w:ilvl w:val="0"/>
          <w:numId w:val="1001"/>
        </w:numPr>
      </w:pPr>
      <w:r>
        <w:t xml:space="preserve">dulovicmahlow2019denovovariants pages 3-4</w:t>
      </w:r>
      <w:r>
        <w:br/>
      </w:r>
    </w:p>
    <w:p>
      <w:pPr>
        <w:numPr>
          <w:ilvl w:val="0"/>
          <w:numId w:val="1001"/>
        </w:numPr>
      </w:pPr>
      <w:r>
        <w:t xml:space="preserve">dulovicmahlow2019denovovariants pages 4-6</w:t>
      </w:r>
      <w:r>
        <w:br/>
      </w:r>
    </w:p>
    <w:p>
      <w:pPr>
        <w:numPr>
          <w:ilvl w:val="0"/>
          <w:numId w:val="1001"/>
        </w:numPr>
      </w:pPr>
      <w:r>
        <w:t xml:space="preserve">dulovicmahlow2019denovovariants pages 7-7</w:t>
      </w:r>
      <w:r>
        <w:br/>
      </w:r>
    </w:p>
    <w:p>
      <w:pPr>
        <w:numPr>
          <w:ilvl w:val="0"/>
          <w:numId w:val="1001"/>
        </w:numPr>
      </w:pPr>
      <w:r>
        <w:t xml:space="preserve">fang2020thediverseroles pages 1-3</w:t>
      </w:r>
      <w:r>
        <w:br/>
      </w:r>
    </w:p>
    <w:p>
      <w:pPr>
        <w:numPr>
          <w:ilvl w:val="0"/>
          <w:numId w:val="1001"/>
        </w:numPr>
      </w:pPr>
      <w:r>
        <w:t xml:space="preserve">fang2020thediverseroles pages 3-5</w:t>
      </w:r>
      <w:r>
        <w:br/>
      </w:r>
    </w:p>
    <w:p>
      <w:pPr>
        <w:numPr>
          <w:ilvl w:val="0"/>
          <w:numId w:val="1001"/>
        </w:numPr>
      </w:pPr>
      <w:r>
        <w:t xml:space="preserve">fang2020thediverseroles pages 5-8</w:t>
      </w:r>
      <w:r>
        <w:br/>
      </w:r>
    </w:p>
    <w:p>
      <w:pPr>
        <w:numPr>
          <w:ilvl w:val="0"/>
          <w:numId w:val="1001"/>
        </w:numPr>
      </w:pPr>
      <w:r>
        <w:t xml:space="preserve">fang2020thediverseroles pages 8-11</w:t>
      </w:r>
      <w:r>
        <w:br/>
      </w:r>
    </w:p>
    <w:p>
      <w:pPr>
        <w:numPr>
          <w:ilvl w:val="0"/>
          <w:numId w:val="1001"/>
        </w:numPr>
      </w:pPr>
      <w:r>
        <w:t xml:space="preserve">fang2020thediverseroles pages 11-13</w:t>
      </w:r>
      <w:r>
        <w:br/>
      </w:r>
    </w:p>
    <w:p>
      <w:pPr>
        <w:numPr>
          <w:ilvl w:val="0"/>
          <w:numId w:val="1001"/>
        </w:numPr>
      </w:pPr>
      <w:r>
        <w:t xml:space="preserve">fang2020thediverseroles pages 13-15</w:t>
      </w:r>
      <w:r>
        <w:br/>
      </w:r>
    </w:p>
    <w:p>
      <w:pPr>
        <w:numPr>
          <w:ilvl w:val="0"/>
          <w:numId w:val="1001"/>
        </w:numPr>
      </w:pPr>
      <w:r>
        <w:t xml:space="preserve">fang2020thediverseroles pages 15-16</w:t>
      </w:r>
      <w:r>
        <w:br/>
      </w:r>
    </w:p>
    <w:p>
      <w:pPr>
        <w:numPr>
          <w:ilvl w:val="0"/>
          <w:numId w:val="1001"/>
        </w:numPr>
      </w:pPr>
      <w:r>
        <w:t xml:space="preserve">fang2020thediverseroles pages 16-17</w:t>
      </w:r>
      <w:r>
        <w:br/>
      </w:r>
    </w:p>
    <w:p>
      <w:pPr>
        <w:numPr>
          <w:ilvl w:val="0"/>
          <w:numId w:val="1001"/>
        </w:numPr>
      </w:pPr>
      <w:r>
        <w:t xml:space="preserve">fang2020thediverseroles pages 17-19</w:t>
      </w:r>
      <w:r>
        <w:br/>
      </w:r>
    </w:p>
    <w:p>
      <w:pPr>
        <w:numPr>
          <w:ilvl w:val="0"/>
          <w:numId w:val="1001"/>
        </w:numPr>
      </w:pPr>
      <w:r>
        <w:t xml:space="preserve">fang2020thediverseroles pages 19-20</w:t>
      </w:r>
      <w:r>
        <w:br/>
      </w:r>
    </w:p>
    <w:p>
      <w:pPr>
        <w:numPr>
          <w:ilvl w:val="0"/>
          <w:numId w:val="1001"/>
        </w:numPr>
      </w:pPr>
      <w:r>
        <w:t xml:space="preserve">thiriet2013cytoplasmicproteinserinethreonine pages 1-4</w:t>
      </w:r>
      <w:r>
        <w:br/>
      </w:r>
    </w:p>
    <w:p>
      <w:pPr>
        <w:numPr>
          <w:ilvl w:val="0"/>
          <w:numId w:val="1001"/>
        </w:numPr>
      </w:pPr>
      <w:r>
        <w:t xml:space="preserve">thiriet2013cytoplasmicproteinserinethreonine pages 4-7</w:t>
      </w:r>
      <w:r>
        <w:br/>
      </w:r>
    </w:p>
    <w:p>
      <w:pPr>
        <w:numPr>
          <w:ilvl w:val="0"/>
          <w:numId w:val="1001"/>
        </w:numPr>
      </w:pPr>
      <w:r>
        <w:t xml:space="preserve">thiriet2013cytoplasmicproteinserinethreonine pages 11-14</w:t>
      </w:r>
      <w:r>
        <w:br/>
      </w:r>
    </w:p>
    <w:p>
      <w:pPr>
        <w:numPr>
          <w:ilvl w:val="0"/>
          <w:numId w:val="1001"/>
        </w:numPr>
      </w:pPr>
      <w:r>
        <w:t xml:space="preserve">timm2006signalingfrommark pages 1-2</w:t>
      </w:r>
      <w:r>
        <w:br/>
      </w:r>
    </w:p>
    <w:p>
      <w:pPr>
        <w:numPr>
          <w:ilvl w:val="0"/>
          <w:numId w:val="1001"/>
        </w:numPr>
      </w:pPr>
      <w:r>
        <w:t xml:space="preserve">timm2006signalingfrommark pages 2-3</w:t>
      </w:r>
      <w:r>
        <w:br/>
      </w:r>
    </w:p>
    <w:p>
      <w:pPr>
        <w:numPr>
          <w:ilvl w:val="0"/>
          <w:numId w:val="1001"/>
        </w:numPr>
      </w:pPr>
      <w:r>
        <w:t xml:space="preserve">timm2006signalingfrommark pages 4-5</w:t>
      </w:r>
      <w:r>
        <w:br/>
      </w:r>
    </w:p>
    <w:p>
      <w:pPr>
        <w:numPr>
          <w:ilvl w:val="0"/>
          <w:numId w:val="1001"/>
        </w:numPr>
      </w:pPr>
      <w:r>
        <w:t xml:space="preserve">timm2006signalingfrommark pages 5-6</w:t>
      </w:r>
      <w:r>
        <w:br/>
      </w:r>
    </w:p>
    <w:p>
      <w:pPr>
        <w:numPr>
          <w:ilvl w:val="0"/>
          <w:numId w:val="1001"/>
        </w:numPr>
      </w:pPr>
      <w:r>
        <w:t xml:space="preserve">byeon2024pleiotropicfunctionsof pages 1-3</w:t>
      </w:r>
      <w:r>
        <w:br/>
      </w:r>
    </w:p>
    <w:p>
      <w:pPr>
        <w:numPr>
          <w:ilvl w:val="0"/>
          <w:numId w:val="1001"/>
        </w:numPr>
      </w:pPr>
      <w:r>
        <w:t xml:space="preserve">byeon2024pleiotropicfunctionsof pages 3-4</w:t>
      </w:r>
      <w:r>
        <w:br/>
      </w:r>
    </w:p>
    <w:p>
      <w:pPr>
        <w:numPr>
          <w:ilvl w:val="0"/>
          <w:numId w:val="1001"/>
        </w:numPr>
      </w:pPr>
      <w:r>
        <w:t xml:space="preserve">byeon2024pleiotropicfunctionsof pages 4-6</w:t>
      </w:r>
      <w:r>
        <w:br/>
      </w:r>
    </w:p>
    <w:p>
      <w:pPr>
        <w:numPr>
          <w:ilvl w:val="0"/>
          <w:numId w:val="1001"/>
        </w:numPr>
      </w:pPr>
      <w:r>
        <w:t xml:space="preserve">byeon2024pleiotropicfunctionsof pages 6-7</w:t>
      </w:r>
      <w:r>
        <w:br/>
      </w:r>
    </w:p>
    <w:p>
      <w:pPr>
        <w:numPr>
          <w:ilvl w:val="0"/>
          <w:numId w:val="1001"/>
        </w:numPr>
      </w:pPr>
      <w:r>
        <w:t xml:space="preserve">byeon2024pleiotropicfunctionsof pages 7-9</w:t>
      </w:r>
      <w:r>
        <w:br/>
      </w:r>
    </w:p>
    <w:p>
      <w:pPr>
        <w:numPr>
          <w:ilvl w:val="0"/>
          <w:numId w:val="1001"/>
        </w:numPr>
      </w:pPr>
      <w:r>
        <w:t xml:space="preserve">byeon2024pleiotropicfunctionsof pages 9-11</w:t>
      </w:r>
      <w:r>
        <w:br/>
      </w:r>
    </w:p>
    <w:p>
      <w:pPr>
        <w:numPr>
          <w:ilvl w:val="0"/>
          <w:numId w:val="1001"/>
        </w:numPr>
      </w:pPr>
      <w:r>
        <w:t xml:space="preserve">vandersarren2019fromerstress pages 49-52</w:t>
      </w:r>
      <w:r>
        <w:br/>
      </w:r>
    </w:p>
    <w:p>
      <w:pPr>
        <w:numPr>
          <w:ilvl w:val="0"/>
          <w:numId w:val="1001"/>
        </w:numPr>
      </w:pPr>
      <w:r>
        <w:t xml:space="preserve">wernigg2025theserinethreoninekinase pages 1-5</w:t>
      </w:r>
      <w:r>
        <w:br/>
      </w:r>
    </w:p>
    <w:p>
      <w:pPr>
        <w:numPr>
          <w:ilvl w:val="0"/>
          <w:numId w:val="1001"/>
        </w:numPr>
      </w:pPr>
      <w:r>
        <w:t xml:space="preserve">wernigg2025theserinethreoninekinase pages 23-27</w:t>
      </w:r>
      <w:r>
        <w:br/>
      </w:r>
    </w:p>
    <w:p>
      <w:pPr>
        <w:numPr>
          <w:ilvl w:val="0"/>
          <w:numId w:val="1001"/>
        </w:numPr>
      </w:pPr>
      <w:r>
        <w:t xml:space="preserve">wernigg2025theserinethreoninekinase pages 88-91</w:t>
      </w:r>
      <w:r>
        <w:br/>
      </w:r>
    </w:p>
    <w:p>
      <w:pPr>
        <w:numPr>
          <w:ilvl w:val="0"/>
          <w:numId w:val="1001"/>
        </w:numPr>
      </w:pPr>
      <w:r>
        <w:t xml:space="preserve">nourbakhsh2021uncoveringtherole pages 49-55</w:t>
      </w:r>
      <w:r>
        <w:br/>
      </w:r>
    </w:p>
    <w:p>
      <w:pPr>
        <w:numPr>
          <w:ilvl w:val="0"/>
          <w:numId w:val="1001"/>
        </w:numPr>
      </w:pPr>
      <w:r>
        <w:t xml:space="preserve">nourbakhsh2021uncoveringtherole pages 55-60</w:t>
      </w:r>
      <w:r>
        <w:br/>
      </w:r>
    </w:p>
    <w:p>
      <w:pPr>
        <w:numPr>
          <w:ilvl w:val="0"/>
          <w:numId w:val="1001"/>
        </w:numPr>
      </w:pPr>
      <w:r>
        <w:t xml:space="preserve">goldsmith2007substrateanddocking pages 7-9</w:t>
      </w:r>
    </w:p>
    <w:p>
      <w:pPr>
        <w:pStyle w:val="FirstParagraph"/>
      </w:pPr>
      <w:r>
        <w:t xml:space="preserve">References</w:t>
      </w:r>
    </w:p>
    <w:p>
      <w:pPr>
        <w:numPr>
          <w:ilvl w:val="0"/>
          <w:numId w:val="1002"/>
        </w:numPr>
      </w:pPr>
      <w:r>
        <w:t xml:space="preserve">(dulovicmahlow2019denovovariants pages 4-6): Marija Dulovic-Mahlow, Joanne Trinh, Krishna Kumar Kandaswamy, Geir Julius Braathen, Nataliya Di Donato, Elisa Rahikkala, Skadi Beblo, Martin Werber, Victor Krajka, Øyvind L. Busk, Hauke Baumann, Nouriya Abbas Al-Sannaa, Frauke Hinrichs, Rabea Affan, Nir Navot, Mohammed A. Al Balwi, Gabriela Oprea, Øystein L. Holla, Maximilian E.R. Weiss, Rami A. Jamra, Anne-Karin Kahlert, Shivendra Kishore, Kristian Tveten, Melissa Vos, Arndt Rolfs, and Katja Lohmann. De novo variants in taok1 cause neurodevelopmental disorders. The American Journal of Human Genetics, 105:213-220, Jul 2019. URL: https://doi.org/10.1016/j.ajhg.2019.05.005, doi:10.1016/j.ajhg.2019.05.005. This article has 46 citations.</w:t>
      </w:r>
    </w:p>
    <w:p>
      <w:pPr>
        <w:numPr>
          <w:ilvl w:val="0"/>
          <w:numId w:val="1002"/>
        </w:numPr>
      </w:pPr>
      <w:r>
        <w:t xml:space="preserve">(dulovicmahlow2019denovovariants pages 7-7): Marija Dulovic-Mahlow, Joanne Trinh, Krishna Kumar Kandaswamy, Geir Julius Braathen, Nataliya Di Donato, Elisa Rahikkala, Skadi Beblo, Martin Werber, Victor Krajka, Øyvind L. Busk, Hauke Baumann, Nouriya Abbas Al-Sannaa, Frauke Hinrichs, Rabea Affan, Nir Navot, Mohammed A. Al Balwi, Gabriela Oprea, Øystein L. Holla, Maximilian E.R. Weiss, Rami A. Jamra, Anne-Karin Kahlert, Shivendra Kishore, Kristian Tveten, Melissa Vos, Arndt Rolfs, and Katja Lohmann. De novo variants in taok1 cause neurodevelopmental disorders. The American Journal of Human Genetics, 105:213-220, Jul 2019. URL: https://doi.org/10.1016/j.ajhg.2019.05.005, doi:10.1016/j.ajhg.2019.05.005. This article has 46 citations.</w:t>
      </w:r>
    </w:p>
    <w:p>
      <w:pPr>
        <w:numPr>
          <w:ilvl w:val="0"/>
          <w:numId w:val="1002"/>
        </w:numPr>
      </w:pPr>
      <w:r>
        <w:t xml:space="preserve">(fang2020thediverseroles pages 1-3): Chih-Yeu Fang, Tsung-Ching Lai, Michael Hsiao, and Yu-Chan Chang. The diverse roles of tao kinases in health and diseases. International Journal of Molecular Sciences, 21:7463, Oct 2020. URL: https://doi.org/10.3390/ijms21207463, doi:10.3390/ijms21207463. This article has 60 citations and is from a peer-reviewed journal.</w:t>
      </w:r>
    </w:p>
    <w:p>
      <w:pPr>
        <w:numPr>
          <w:ilvl w:val="0"/>
          <w:numId w:val="1002"/>
        </w:numPr>
      </w:pPr>
      <w:r>
        <w:t xml:space="preserve">(fang2020thediverseroles pages 11-13): Chih-Yeu Fang, Tsung-Ching Lai, Michael Hsiao, and Yu-Chan Chang. The diverse roles of tao kinases in health and diseases. International Journal of Molecular Sciences, 21:7463, Oct 2020. URL: https://doi.org/10.3390/ijms21207463, doi:10.3390/ijms21207463. This article has 60 citations and is from a peer-reviewed journal.</w:t>
      </w:r>
    </w:p>
    <w:p>
      <w:pPr>
        <w:numPr>
          <w:ilvl w:val="0"/>
          <w:numId w:val="1002"/>
        </w:numPr>
      </w:pPr>
      <w:r>
        <w:t xml:space="preserve">(fang2020thediverseroles pages 13-15): Chih-Yeu Fang, Tsung-Ching Lai, Michael Hsiao, and Yu-Chan Chang. The diverse roles of tao kinases in health and diseases. International Journal of Molecular Sciences, 21:7463, Oct 2020. URL: https://doi.org/10.3390/ijms21207463, doi:10.3390/ijms21207463. This article has 60 citations and is from a peer-reviewed journal.</w:t>
      </w:r>
    </w:p>
    <w:p>
      <w:pPr>
        <w:numPr>
          <w:ilvl w:val="0"/>
          <w:numId w:val="1002"/>
        </w:numPr>
      </w:pPr>
      <w:r>
        <w:t xml:space="preserve">(fang2020thediverseroles pages 15-16): Chih-Yeu Fang, Tsung-Ching Lai, Michael Hsiao, and Yu-Chan Chang. The diverse roles of tao kinases in health and diseases. International Journal of Molecular Sciences, 21:7463, Oct 2020. URL: https://doi.org/10.3390/ijms21207463, doi:10.3390/ijms21207463. This article has 60 citations and is from a peer-reviewed journal.</w:t>
      </w:r>
    </w:p>
    <w:p>
      <w:pPr>
        <w:numPr>
          <w:ilvl w:val="0"/>
          <w:numId w:val="1002"/>
        </w:numPr>
      </w:pPr>
      <w:r>
        <w:t xml:space="preserve">(fang2020thediverseroles pages 16-17): Chih-Yeu Fang, Tsung-Ching Lai, Michael Hsiao, and Yu-Chan Chang. The diverse roles of tao kinases in health and diseases. International Journal of Molecular Sciences, 21:7463, Oct 2020. URL: https://doi.org/10.3390/ijms21207463, doi:10.3390/ijms21207463. This article has 60 citations and is from a peer-reviewed journal.</w:t>
      </w:r>
    </w:p>
    <w:p>
      <w:pPr>
        <w:numPr>
          <w:ilvl w:val="0"/>
          <w:numId w:val="1002"/>
        </w:numPr>
      </w:pPr>
      <w:r>
        <w:t xml:space="preserve">(fang2020thediverseroles pages 17-19): Chih-Yeu Fang, Tsung-Ching Lai, Michael Hsiao, and Yu-Chan Chang. The diverse roles of tao kinases in health and diseases. International Journal of Molecular Sciences, 21:7463, Oct 2020. URL: https://doi.org/10.3390/ijms21207463, doi:10.3390/ijms21207463. This article has 60 citations and is from a peer-reviewed journal.</w:t>
      </w:r>
    </w:p>
    <w:p>
      <w:pPr>
        <w:numPr>
          <w:ilvl w:val="0"/>
          <w:numId w:val="1002"/>
        </w:numPr>
      </w:pPr>
      <w:r>
        <w:t xml:space="preserve">(fang2020thediverseroles pages 19-20): Chih-Yeu Fang, Tsung-Ching Lai, Michael Hsiao, and Yu-Chan Chang. The diverse roles of tao kinases in health and diseases. International Journal of Molecular Sciences, 21:7463, Oct 2020. URL: https://doi.org/10.3390/ijms21207463, doi:10.3390/ijms21207463. This article has 60 citations and is from a peer-reviewed journal.</w:t>
      </w:r>
    </w:p>
    <w:p>
      <w:pPr>
        <w:numPr>
          <w:ilvl w:val="0"/>
          <w:numId w:val="1002"/>
        </w:numPr>
      </w:pPr>
      <w:r>
        <w:t xml:space="preserve">(fang2020thediverseroles pages 3-5): Chih-Yeu Fang, Tsung-Ching Lai, Michael Hsiao, and Yu-Chan Chang. The diverse roles of tao kinases in health and diseases. International Journal of Molecular Sciences, 21:7463, Oct 2020. URL: https://doi.org/10.3390/ijms21207463, doi:10.3390/ijms21207463. This article has 60 citations and is from a peer-reviewed journal.</w:t>
      </w:r>
    </w:p>
    <w:p>
      <w:pPr>
        <w:numPr>
          <w:ilvl w:val="0"/>
          <w:numId w:val="1002"/>
        </w:numPr>
      </w:pPr>
      <w:r>
        <w:t xml:space="preserve">(fang2020thediverseroles pages 5-8): Chih-Yeu Fang, Tsung-Ching Lai, Michael Hsiao, and Yu-Chan Chang. The diverse roles of tao kinases in health and diseases. International Journal of Molecular Sciences, 21:7463, Oct 2020. URL: https://doi.org/10.3390/ijms21207463, doi:10.3390/ijms21207463. This article has 60 citations and is from a peer-reviewed journal.</w:t>
      </w:r>
    </w:p>
    <w:p>
      <w:pPr>
        <w:numPr>
          <w:ilvl w:val="0"/>
          <w:numId w:val="1002"/>
        </w:numPr>
      </w:pPr>
      <w:r>
        <w:t xml:space="preserve">(fang2020thediverseroles pages 8-11): Chih-Yeu Fang, Tsung-Ching Lai, Michael Hsiao, and Yu-Chan Chang. The diverse roles of tao kinases in health and diseases. International Journal of Molecular Sciences, 21:7463, Oct 2020. URL: https://doi.org/10.3390/ijms21207463, doi:10.3390/ijms21207463. This article has 60 citations and is from a peer-reviewed journal.</w:t>
      </w:r>
    </w:p>
    <w:p>
      <w:pPr>
        <w:numPr>
          <w:ilvl w:val="0"/>
          <w:numId w:val="1002"/>
        </w:numPr>
      </w:pPr>
      <w:r>
        <w:t xml:space="preserve">(byeon2024pleiotropicfunctionsof pages 1-3):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(dulovicmahlow2019denovovariants pages 1-2): Marija Dulovic-Mahlow, Joanne Trinh, Krishna Kumar Kandaswamy, Geir Julius Braathen, Nataliya Di Donato, Elisa Rahikkala, Skadi Beblo, Martin Werber, Victor Krajka, Øyvind L. Busk, Hauke Baumann, Nouriya Abbas Al-Sannaa, Frauke Hinrichs, Rabea Affan, Nir Navot, Mohammed A. Al Balwi, Gabriela Oprea, Øystein L. Holla, Maximilian E.R. Weiss, Rami A. Jamra, Anne-Karin Kahlert, Shivendra Kishore, Kristian Tveten, Melissa Vos, Arndt Rolfs, and Katja Lohmann. De novo variants in taok1 cause neurodevelopmental disorders. The American Journal of Human Genetics, 105:213-220, Jul 2019. URL: https://doi.org/10.1016/j.ajhg.2019.05.005, doi:10.1016/j.ajhg.2019.05.005. This article has 46 citations.</w:t>
      </w:r>
    </w:p>
    <w:p>
      <w:pPr>
        <w:numPr>
          <w:ilvl w:val="0"/>
          <w:numId w:val="1002"/>
        </w:numPr>
      </w:pPr>
      <w:r>
        <w:t xml:space="preserve">(dulovicmahlow2019denovovariants pages 3-4): Marija Dulovic-Mahlow, Joanne Trinh, Krishna Kumar Kandaswamy, Geir Julius Braathen, Nataliya Di Donato, Elisa Rahikkala, Skadi Beblo, Martin Werber, Victor Krajka, Øyvind L. Busk, Hauke Baumann, Nouriya Abbas Al-Sannaa, Frauke Hinrichs, Rabea Affan, Nir Navot, Mohammed A. Al Balwi, Gabriela Oprea, Øystein L. Holla, Maximilian E.R. Weiss, Rami A. Jamra, Anne-Karin Kahlert, Shivendra Kishore, Kristian Tveten, Melissa Vos, Arndt Rolfs, and Katja Lohmann. De novo variants in taok1 cause neurodevelopmental disorders. The American Journal of Human Genetics, 105:213-220, Jul 2019. URL: https://doi.org/10.1016/j.ajhg.2019.05.005, doi:10.1016/j.ajhg.2019.05.005. This article has 46 citations.</w:t>
      </w:r>
    </w:p>
    <w:p>
      <w:pPr>
        <w:numPr>
          <w:ilvl w:val="0"/>
          <w:numId w:val="1002"/>
        </w:numPr>
      </w:pPr>
      <w:r>
        <w:t xml:space="preserve">(goldsmith2007substrateanddocking pages 7-9): Elizabeth J. Goldsmith, Radha Akella, Xiaoshan Min, Tianjun Zhou, and John M. Humphreys. Substrate and docking interactions in serine/threonine protein kinases. Chemical Reviews, 107:5065-5081, Oct 2007. URL: https://doi.org/10.1021/cr068221w, doi:10.1021/cr068221w. This article has 153 citations and is from a highest quality peer-reviewed journal.</w:t>
      </w:r>
    </w:p>
    <w:p>
      <w:pPr>
        <w:numPr>
          <w:ilvl w:val="0"/>
          <w:numId w:val="1002"/>
        </w:numPr>
      </w:pPr>
      <w:r>
        <w:t xml:space="preserve">(timm2006signalingfrommark pages 1-2): T. Timm, D. Matenia, X.-Y. Li, B. Griesshaber, and E.-M. Mandelkow. Signaling from mark to tau: regulation, cytoskeletal crosstalk, and pathological phosphorylation. Neurodegenerative Diseases, 3:207-217, Oct 2006. URL: https://doi.org/10.1159/000095258, doi:10.1159/000095258. This article has 61 citations and is from a peer-reviewed journal.</w:t>
      </w:r>
    </w:p>
    <w:p>
      <w:pPr>
        <w:numPr>
          <w:ilvl w:val="0"/>
          <w:numId w:val="1002"/>
        </w:numPr>
      </w:pPr>
      <w:r>
        <w:t xml:space="preserve">(timm2006signalingfrommark pages 5-6): T. Timm, D. Matenia, X.-Y. Li, B. Griesshaber, and E.-M. Mandelkow. Signaling from mark to tau: regulation, cytoskeletal crosstalk, and pathological phosphorylation. Neurodegenerative Diseases, 3:207-217, Oct 2006. URL: https://doi.org/10.1159/000095258, doi:10.1159/000095258. This article has 61 citations and is from a peer-reviewed journal.</w:t>
      </w:r>
    </w:p>
    <w:p>
      <w:pPr>
        <w:numPr>
          <w:ilvl w:val="0"/>
          <w:numId w:val="1002"/>
        </w:numPr>
      </w:pPr>
      <w:r>
        <w:t xml:space="preserve">(vandersarren2019fromerstress pages 49-52): L Vandersarren. From er stress to t cell biology: ire1 signaling and taok3 function. Unknown journal, 2019.</w:t>
      </w:r>
    </w:p>
    <w:p>
      <w:pPr>
        <w:numPr>
          <w:ilvl w:val="0"/>
          <w:numId w:val="1002"/>
        </w:numPr>
      </w:pPr>
      <w:r>
        <w:t xml:space="preserve">(wernigg2025theserinethreoninekinase pages 23-27): M Wernigg. The serine/threonine kinase thousand and one amino acid kinase 2 (taok2) regulates hippo/yap signaling and synaptic activity. Unknown journal, 2025.</w:t>
      </w:r>
    </w:p>
    <w:p>
      <w:pPr>
        <w:numPr>
          <w:ilvl w:val="0"/>
          <w:numId w:val="1002"/>
        </w:numPr>
      </w:pPr>
      <w:r>
        <w:t xml:space="preserve">(wernigg2025theserinethreoninekinase pages 88-91): M Wernigg. The serine/threonine kinase thousand and one amino acid kinase 2 (taok2) regulates hippo/yap signaling and synaptic activity. Unknown journal, 2025.</w:t>
      </w:r>
    </w:p>
    <w:p>
      <w:pPr>
        <w:numPr>
          <w:ilvl w:val="0"/>
          <w:numId w:val="1002"/>
        </w:numPr>
      </w:pPr>
      <w:r>
        <w:t xml:space="preserve">(byeon2024pleiotropicfunctionsof pages 3-4):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(byeon2024pleiotropicfunctionsof pages 4-6):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(byeon2024pleiotropicfunctionsof pages 6-7):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(byeon2024pleiotropicfunctionsof pages 7-9):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(byeon2024pleiotropicfunctionsof pages 9-11):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(dulovicmahlow2019denovovariants pages 2-2): Marija Dulovic-Mahlow, Joanne Trinh, Krishna Kumar Kandaswamy, Geir Julius Braathen, Nataliya Di Donato, Elisa Rahikkala, Skadi Beblo, Martin Werber, Victor Krajka, Øyvind L. Busk, Hauke Baumann, Nouriya Abbas Al-Sannaa, Frauke Hinrichs, Rabea Affan, Nir Navot, Mohammed A. Al Balwi, Gabriela Oprea, Øystein L. Holla, Maximilian E.R. Weiss, Rami A. Jamra, Anne-Karin Kahlert, Shivendra Kishore, Kristian Tveten, Melissa Vos, Arndt Rolfs, and Katja Lohmann. De novo variants in taok1 cause neurodevelopmental disorders. The American Journal of Human Genetics, 105:213-220, Jul 2019. URL: https://doi.org/10.1016/j.ajhg.2019.05.005, doi:10.1016/j.ajhg.2019.05.005. This article has 46 citations.</w:t>
      </w:r>
    </w:p>
    <w:p>
      <w:pPr>
        <w:numPr>
          <w:ilvl w:val="0"/>
          <w:numId w:val="1002"/>
        </w:numPr>
      </w:pPr>
      <w:r>
        <w:t xml:space="preserve">(dulovicmahlow2019denovovariants pages 2-3): Marija Dulovic-Mahlow, Joanne Trinh, Krishna Kumar Kandaswamy, Geir Julius Braathen, Nataliya Di Donato, Elisa Rahikkala, Skadi Beblo, Martin Werber, Victor Krajka, Øyvind L. Busk, Hauke Baumann, Nouriya Abbas Al-Sannaa, Frauke Hinrichs, Rabea Affan, Nir Navot, Mohammed A. Al Balwi, Gabriela Oprea, Øystein L. Holla, Maximilian E.R. Weiss, Rami A. Jamra, Anne-Karin Kahlert, Shivendra Kishore, Kristian Tveten, Melissa Vos, Arndt Rolfs, and Katja Lohmann. De novo variants in taok1 cause neurodevelopmental disorders. The American Journal of Human Genetics, 105:213-220, Jul 2019. URL: https://doi.org/10.1016/j.ajhg.2019.05.005, doi:10.1016/j.ajhg.2019.05.005. This article has 46 citations.</w:t>
      </w:r>
    </w:p>
    <w:p>
      <w:pPr>
        <w:numPr>
          <w:ilvl w:val="0"/>
          <w:numId w:val="1002"/>
        </w:numPr>
      </w:pPr>
      <w:r>
        <w:t xml:space="preserve">(nourbakhsh2021uncoveringtherole pages 49-55): K Nourbakhsh. Uncovering the role of protein kinase taok2 as an endoplasmic reticulum-microtubule tether. Unknown journal, 2021.</w:t>
      </w:r>
    </w:p>
    <w:p>
      <w:pPr>
        <w:numPr>
          <w:ilvl w:val="0"/>
          <w:numId w:val="1002"/>
        </w:numPr>
      </w:pPr>
      <w:r>
        <w:t xml:space="preserve">(thiriet2013cytoplasmicproteinserinethreonine pages 1-4):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2"/>
        </w:numPr>
      </w:pPr>
      <w:r>
        <w:t xml:space="preserve">(thiriet2013cytoplasmicproteinserinethreonine pages 11-14):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2"/>
        </w:numPr>
      </w:pPr>
      <w:r>
        <w:t xml:space="preserve">(thiriet2013cytoplasmicproteinserinethreonine pages 4-7):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2"/>
        </w:numPr>
      </w:pPr>
      <w:r>
        <w:t xml:space="preserve">(timm2006signalingfrommark pages 2-3): T. Timm, D. Matenia, X.-Y. Li, B. Griesshaber, and E.-M. Mandelkow. Signaling from mark to tau: regulation, cytoskeletal crosstalk, and pathological phosphorylation. Neurodegenerative Diseases, 3:207-217, Oct 2006. URL: https://doi.org/10.1159/000095258, doi:10.1159/000095258. This article has 61 citations and is from a peer-reviewed journal.</w:t>
      </w:r>
    </w:p>
    <w:p>
      <w:pPr>
        <w:numPr>
          <w:ilvl w:val="0"/>
          <w:numId w:val="1002"/>
        </w:numPr>
      </w:pPr>
      <w:r>
        <w:t xml:space="preserve">(nourbakhsh2021uncoveringtherole pages 55-60): K Nourbakhsh. Uncovering the role of protein kinase taok2 as an endoplasmic reticulum-microtubule tether. Unknown journal, 2021.</w:t>
      </w:r>
    </w:p>
    <w:p>
      <w:pPr>
        <w:numPr>
          <w:ilvl w:val="0"/>
          <w:numId w:val="1002"/>
        </w:numPr>
      </w:pPr>
      <w:r>
        <w:t xml:space="preserve">(timm2006signalingfrommark pages 4-5): T. Timm, D. Matenia, X.-Y. Li, B. Griesshaber, and E.-M. Mandelkow. Signaling from mark to tau: regulation, cytoskeletal crosstalk, and pathological phosphorylation. Neurodegenerative Diseases, 3:207-217, Oct 2006. URL: https://doi.org/10.1159/000095258, doi:10.1159/000095258. This article has 61 citations and is from a peer-reviewed journal.</w:t>
      </w:r>
    </w:p>
    <w:p>
      <w:pPr>
        <w:numPr>
          <w:ilvl w:val="0"/>
          <w:numId w:val="1002"/>
        </w:numPr>
      </w:pPr>
      <w:r>
        <w:t xml:space="preserve">(wernigg2025theserinethreoninekinase pages 1-5): M Wernigg. The serine/threonine kinase thousand and one amino acid kinase 2 (taok2) regulates hippo/yap signaling and synaptic activity. Unknown journal, 2025.</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2025-05-23T18:26:43Z</dcterms:created>
  <dcterms:modified xsi:type="dcterms:W3CDTF">2025-05-23T18:26:43Z</dcterms:modified>
</cp:coreProperties>
</file>

<file path=docProps/custom.xml><?xml version="1.0" encoding="utf-8"?>
<Properties xmlns="http://schemas.openxmlformats.org/officeDocument/2006/custom-properties" xmlns:vt="http://schemas.openxmlformats.org/officeDocument/2006/docPropsVTypes"/>
</file>