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Mitogen‐activated protein kinase 3 (MAPK3), commonly known as ERK1, is an evolutionarily ancient serine/threonine kinase that belongs to the MAP kinase family within the larger CMGC group of eukaryotic protein kinases. Its phylogenetic placement is supported by extensive sequence comparisons and maximum likelihood‐based reconstructions that consistently cluster MAPK3 together with its close paralog MAPK1 (ERK2), reflecting a deep evolutionary divergence that likely occurred early during metazoan radiation. Studies indicate that both MAPK3 and MAPK1 share conserved features, such as the dual phosphorylation motif (TXY) in the activation loop and specific docking regions critical for substrate recognition, and these features can be traced to an ancestral signaling module that existed in the last eukaryotic common ancestor (LECA) or even earlier (bradley2019evolutionofprotein pages 19-21). Comparative analyses across diverse taxa—including metazoans, fungi, and plants—show that MAPK3 orthologs are ubiquitous, underscoring the central role of the MAPK/ERK cascade in cellular regulation across eukaryotes (kwon2019tracingtheevolution pages 145-150). Moreover, phylogenetic reconstructions have revealed that early gene duplication events gave rise to the MAPK3/MAPK1 paralog pair, and subsequent evolutionary pressures have led to subtle divergences in regulatory domains and docking interfaces that help define substrate specificity and cellular localization (kwon2019tracingtheevolution pages 15-19, huang2024reconstructingthedeep pages 7-10). In summary, the phylogenetic context of MAPK3 shows that it is a highly conserved member of the MAP kinase family that has retained its critical catalytic and regulatory domains throughout eukaryotic evolution, emphasizing its indispensable role in intracellular signaling (bradley2019evolutionofprotein pages 19-21).</w:t>
      </w:r>
    </w:p>
    <w:p>
      <w:pPr>
        <w:numPr>
          <w:ilvl w:val="0"/>
          <w:numId w:val="1001"/>
        </w:numPr>
      </w:pPr>
      <w:r>
        <w:t xml:space="preserve">Reaction Catalyzed</w:t>
      </w:r>
      <w:r>
        <w:br/>
      </w:r>
      <w:r>
        <w:t xml:space="preserve">MAPK3 catalyzes the classical phosphorylation reaction that is emblematic of serine/threonine kinases. The enzyme’s primary chemical reaction involves the transfer of the gamma (γ) phosphate from adenosine triphosphate (ATP) to the hydroxyl group of serine or threonine residues on target substrate proteins. The overall reaction can be summarized as follows: ATP plus a protein bearing an –OH group on a serine or threonine residue is converted to ADP, a phosphorylated protein (bearing a phosphate ester on serine/threonine), and a proton (ATP + [protein]–(Ser/Thr-OH) → ADP + [protein]–(Ser/Thr-O-PO₃²⁻) + H⁺) (fulcher2020functionsandregulation pages 1-2). The reaction mechanism involves a nucleophilic attack by the oxygen atom of the substrate’s hydroxyl group on the γ-phosphate of ATP, a process coordinated by the enzyme’s active site residues. Key catalytic residues involved in this mechanism include an invariant lysine that interacts with the phosphate groups of ATP and an aspartate in the catalytic loop—often part of a conserved HRD motif—that helps orient the substrate and facilitate the transfer of the phosphate group (johnson2023anatlasof pages 9-10). In addition, the DFG motif at the start of the activation loop plays a pivotal role in coordinating Mg²⁺ ions, which are essential for proper ATP binding and orientation within the catalytic cleft. Furthermore, MAPK3 exhibits substrate specificity for proline-directed motifs, typically phosphorylating serine or threonine residues that are immediately followed by a proline (pS/T-P motif), a specificity that is critical for ensuring the precise transmission of mitogenic signals (fulcher2020functionsandregulation pages 1-2, bradley2019evolutionofprotein pages 19-21).</w:t>
      </w:r>
    </w:p>
    <w:p>
      <w:pPr>
        <w:numPr>
          <w:ilvl w:val="0"/>
          <w:numId w:val="1001"/>
        </w:numPr>
      </w:pPr>
      <w:r>
        <w:t xml:space="preserve">Cofactor Requirements</w:t>
      </w:r>
      <w:r>
        <w:br/>
      </w:r>
      <w:r>
        <w:t xml:space="preserve">The catalytic efficiency of MAPK3 is highly dependent on the presence of divalent metal ions, with magnesium (Mg²⁺) serving as the primary cofactor. Mg²⁺ forms a complex with ATP, thereby stabilizing the nucleotide and ensuring its proper positioning within the active site of MAPK3. This coordination typically involves conserved residues adjacent to the ATP-binding pocket, including those present in the DFG motif, which facilitate proper orientation of ATP’s phosphate groups for phosphoryl transfer (fulcher2020functionsandregulation pages 1-2). Although in some experimental setups manganese (Mn²⁺) can partially substitute for magnesium, magnesium remains the physiologically preferred cofactor that is critical for the activity of most serine/threonine kinases, including MAPK3 (solorza2019molecularinsightsinto pages 42-44, bradley2019evolutionofprotein pages 19-21). There is no compelling evidence suggesting the requirement of additional cofactors or alternative regulatory molecules beyond the standard necessity of Mg²⁺ in facilitating the kinase reaction.</w:t>
      </w:r>
    </w:p>
    <w:p>
      <w:pPr>
        <w:numPr>
          <w:ilvl w:val="0"/>
          <w:numId w:val="1001"/>
        </w:numPr>
      </w:pPr>
      <w:r>
        <w:t xml:space="preserve">Substrate Specificity</w:t>
      </w:r>
      <w:r>
        <w:br/>
      </w:r>
      <w:r>
        <w:t xml:space="preserve">MAPK3 is renowned for its broad substrate specificity, having been shown to phosphorylate approximately 160 different protein substrates that span multiple cellular compartments. In the nucleus, MAPK3 phosphorylates a variety of transcription factors—including ATF2, BCL6, ELK1, ERF, FOS, HSF4, and SPZ1—thereby modulating gene expression programs that govern cellular growth, differentiation, and survival (fulcher2020functionsandregulation pages 1-2). In the cytosol and other organelles, its substrates include proteins associated with the cytoskeleton (such as CANX, CTTN, GJA1, MAP2, MAPT, PXN, SORBS3, and STMN1), as well as regulators of apoptosis including BAD, BTG2, CASP9, DAPK1, IER3, MCL1, and PPARG, which are vital for controlling cell death processes. In addition, MAPK3 phosphorylates translational regulators like EIF4EBP1, linking extracellular signals to the control of protein synthesis. The specificity of MAPK3 is largely determined by its preference for proline-directed motifs; specifically, the presence of a serine or threonine residue immediately followed by a proline (pS/T-P motif) is critical for substrate recognition (johnson2023anatlasof pages 3-4). Furthermore, docking interactions mediated by additional binding domains and substrate-docking sites enhance both the efficiency and accuracy of substrate selection. Studies have demonstrated that these docking interactions not only promote high-affinity binding but also aid in the spatial organization of the signaling cascade, ensuring that the appropriate targets are phosphorylated in specific cellular contexts (sugiyama2019largescalediscoveryof pages 3-4, wilson2018newperspectivesopportunities pages 20-24). These features collectively underscore the importance of MAPK3’s substrate specificity in ensuring the fidelity and context-dependent regulation of downstream signaling events.</w:t>
      </w:r>
    </w:p>
    <w:p>
      <w:pPr>
        <w:numPr>
          <w:ilvl w:val="0"/>
          <w:numId w:val="1001"/>
        </w:numPr>
      </w:pPr>
      <w:r>
        <w:t xml:space="preserve">Structure</w:t>
      </w:r>
      <w:r>
        <w:br/>
      </w:r>
      <w:r>
        <w:t xml:space="preserve">At the structural level, MAPK3 assumes a canonical kinase fold that is highly conserved among eukaryotic serine/threonine kinases. The protein is organized into a bilobal structure consisting of a smaller N-terminal lobe and a larger C-terminal lobe. The N-terminal lobe is primarily composed of β-sheets interspersed with a few α-helices, while the C-terminal lobe is predominantly α-helical. These two lobes are connected by a flexible hinge region that forms the base of the ATP-binding pocket and anchors the adenine moiety of ATP (faezov2023alphafold2modelsof pages 1-4). A key structural element is the activation loop, which contains the conserved TXY dual phosphorylation motif; phosphorylation of the threonine and tyrosine residues within this loop is essential for switching MAPK3 from an inactive to an active conformation (lai2015investigationsofthe pages 155-161). The active conformation of MAPK3 has been elucidated by both X-ray crystallography and computational modeling techniques, including those based on AlphaFold2, which have provided high-resolution models that reveal the detailed arrangement of the catalytic residues. Notably, the glycine-rich loop (G-loop) near the ATP-binding site ensures efficient ATP binding, while a conserved lysine residue plays a critical role in correctly orienting ATP’s phosphate groups for catalysis (garcia2023structureandfunction pages 13-13). Additionally, the catalytic cleft is characterized by conserved motifs such as the HRD motif in the catalytic loop and the DFG motif, whose residues are pivotal for coordinating Mg²⁺ ions and stabilizing the transition state. Structural studies also suggest the presence of additional docking grooves and substrate recognition surfaces, some of which may exhibit intrinsic disorder to facilitate flexible yet specific interactions with a diverse array of substrates and regulatory proteins (gogl2019disorderedproteinkinase pages 8-10).</w:t>
      </w:r>
    </w:p>
    <w:p>
      <w:pPr>
        <w:numPr>
          <w:ilvl w:val="0"/>
          <w:numId w:val="1001"/>
        </w:numPr>
      </w:pPr>
      <w:r>
        <w:t xml:space="preserve">Regulation</w:t>
      </w:r>
      <w:r>
        <w:br/>
      </w:r>
      <w:r>
        <w:t xml:space="preserve">The regulation of MAPK3 is achieved through a multilayered network of mechanisms that ensure precise control over its activity in both spatial and temporal dimensions. A central regulatory mechanism is the dual phosphorylation of the activation loop—specifically at the threonine and tyrosine residues within the conserved TXY motif—which is mediated by upstream MAP2Ks, primarily MEK1 and MEK2. This dual phosphorylation event induces significant conformational changes in MAPK3 that align key catalytic residues, thereby transforming the kinase from an inactive to a fully active state (fulcher2020functionsandregulation pages 1-2, huang2024reconstructingthedeep pages 1-3). Negative regulation is primarily conferred by dual-specificity phosphatases (DUSPs) such as DUSP1, DUSP4, DUSP6, and DUSP16, which dephosphorylate the activation loop of MAPK3, thus attenuating its activity and preventing prolonged or inappropriate signaling (reinhardt2023acriticalevaluation pages 22-23). Moreover, scaffold proteins play a crucial role in MAPK3 regulation by assembling signaling complexes that localize MAPK3 in proximity to its activators and substrates, thereby enhancing the specificity and efficiency of the signaling cascade (wilson2018newperspectivesopportunities pages 20-24). In addition, feedback mechanisms are employed whereby active MAPK3 can phosphorylate upstream signaling components or regulatory proteins, helping to fine-tune the duration and magnitude of the signal. Although autophosphorylation events have been observed under certain conditions, their overall contribution to regulation remains an active area of investigation. Together, these regulatory processes establish MAPK3 as a finely tuned molecular switch that can rapidly respond to extracellular cues while ensuring that signals are both transient and accurately directed.</w:t>
      </w:r>
    </w:p>
    <w:p>
      <w:pPr>
        <w:numPr>
          <w:ilvl w:val="0"/>
          <w:numId w:val="1001"/>
        </w:numPr>
      </w:pPr>
      <w:r>
        <w:t xml:space="preserve">Function</w:t>
      </w:r>
      <w:r>
        <w:br/>
      </w:r>
      <w:r>
        <w:t xml:space="preserve">MAPK3 plays a central role in the MAPK/ERK cascade, serving as a critical mediator of cellular responses to external signals including growth factors, cytokines, and other mitogens. Upon activation, MAPK3 phosphorylates an extensive repertoire of substrates—amounting to nearly 160 known targets—that are distributed across both the nucleus and the cytosol. In the nucleus, MAPK3 phosphorylates a range of transcription factors—such as ATF2, BCL6, ELK1, ERF, FOS, HSF4, and SPZ1—thereby modulating gene expression programs which underpin processes like cell growth, differentiation, and stress responses (fulcher2020functionsandregulation pages 1-2, lai2015investigationsofthe pages 190-194). In the cytoplasm, MAPK3 targets proteins that are important for maintaining the integrity of the cytoskeleton and regulating cell shape and motility; these include structural proteins such as CANX, CTTN, GJA1, MAP2, MAPT, PXN, SORBS3, and STMN1. Furthermore, regulators of apoptosis—including BAD, BTG2, CASP9, and DAPK1—are phosphorylated by MAPK3, linking extracellular signals to intracellular pathways that dictate cell survival or programmed cell death. Through the phosphorylation of translational regulators like EIF4EBP1, MAPK3 integrates mitogenic signals with the control of protein synthesis, ensuring that the metabolic and biosynthetic needs of proliferating cells are met. Beyond these roles, MAPK3 has been implicated in the regulation of organelle dynamics, particularly influencing endosomal trafficking, lysosomal processing, and the fragmentation of the Golgi apparatus during mitosis—events that are critical for proper cell division and the distribution of cellular components (johnson2023anatlasof pages 9-10). The capacity to phosphorylate a wide variety of substrates underscores MAPK3’s pivotal function as an integrator of extracellular signals into diverse and coordinated intracellular responses.</w:t>
      </w:r>
    </w:p>
    <w:p>
      <w:pPr>
        <w:numPr>
          <w:ilvl w:val="0"/>
          <w:numId w:val="1001"/>
        </w:numPr>
      </w:pPr>
      <w:r>
        <w:t xml:space="preserve">Other Comments</w:t>
      </w:r>
      <w:r>
        <w:br/>
      </w:r>
      <w:r>
        <w:t xml:space="preserve">MAPK3 is characterized by a variety of alternative names—such as ERK1, p44-ERK1, Insulin-stimulated MAP2 kinase, Microtubule-associated protein 2 kinase, and ERT2—which reflect its discovery in different biological contexts and its functional versatility across multiple signaling networks (wilson2018newperspectivesopportunities pages 20-24). This nomenclature highlights the enzyme’s involvement in diverse cellular processes, ranging from transcriptional regulation in the nucleus to cytoskeletal rearrangements and organelle dynamics in the cytoplasm. Its central role within the MAPK/ERK cascade has rendered MAPK3 a critical focus of research in areas such as cancer biology, where persistent or aberrant activation of MAPK3 can lead to uncontrolled cell proliferation, resistance to apoptosis, and increased metastatic potential. Although inhibitor development has largely focused on upstream components like RAF and MEK, emerging structural insights provided by high-resolution modeling techniques (for example, those based on AlphaFold2) have begun to shed light on potential strategies for targeting MAPK3 directly (faezov2023alphafold2modelsof pages 1-4, huang2024reconstructingthedeep pages 5-7). Additionally, recent phosphoproteomic studies have expanded the catalog of MAPK3 substrates and revealed complex feedback interactions that may present novel opportunities for therapeutic intervention. Research into scaffold proteins and intrinsically disordered regions further elucidates the spatial and temporal dynamics that regulate MAPK3 activity, and these insights are likely to inform future strategies aimed at overcoming the compensatory signaling pathways that contribute to drug resistance in cancer. Finally, ongoing work continues to refine our understanding of MAPK3’s substrate specificity, regulatory mechanisms, and role in cross-talk with other major signaling cascades such as the PI3K/AKT/mTOR pathway (gogl2019disorderedproteinkinase pages 8-10).</w:t>
      </w:r>
    </w:p>
    <w:p>
      <w:pPr>
        <w:numPr>
          <w:ilvl w:val="0"/>
          <w:numId w:val="1001"/>
        </w:numPr>
      </w:pPr>
      <w:r>
        <w:t xml:space="preserve">References</w:t>
      </w:r>
      <w:r>
        <w:br/>
      </w:r>
      <w:r>
        <w:t xml:space="preserve">bradley2019evolutionofprotein pages 19-21; faezov2023alphafold2modelsof pages 1-4; fulcher2020functionsandregulation pages 1-2; garcia2023structureandfunction pages 13-13; honzejkova2024structuralstudiesof pages 15-20; huang2021illuminatingunderstudiedkinases pages 25-31; huang2024reconstructingthedeep pages 1-3; huang2024reconstructingthedeep pages 7-10; huang2024reconstructingthedeep pages 20-22; johnson2023anatlasof pages 3-4; johnson2023anatlasof pages 4-5; johnson2023anatlasof pages 6-7; johnson2023anatlasof pages 7-7; johnson2023anatlasof pages 9-10; kwon2019tracingtheevolution pages 145-150; kwon2019tracingtheevolution pages 15-19; lai2015investigationsofthe pages 1-6; lai2015investigationsofthe pages 155-161; lai2015investigationsofthe pages 190-194; lai2015investigationsofthe pages 9-17; reinhardt2023acriticalevaluation pages 22-23; solorza2019molecularinsightsinto pages 42-44; sugiyama2019largescalediscoveryof pages 3-4; sugiyama2019largescalediscoveryof pages 6-8; wilson2018newperspectivesopportunities pages 20-24; zeke2016jnksignalingregulation pages 1-2; romano2016computationalengineeringof pages 13-19</w:t>
      </w:r>
    </w:p>
    <w:p>
      <w:pPr>
        <w:pStyle w:val="FirstParagraph"/>
      </w:pPr>
      <w:r>
        <w:t xml:space="preserve">References</w:t>
      </w:r>
    </w:p>
    <w:p>
      <w:pPr>
        <w:numPr>
          <w:ilvl w:val="0"/>
          <w:numId w:val="1002"/>
        </w:numPr>
      </w:pPr>
      <w:r>
        <w:t xml:space="preserve">(bradley2019evolutionofprotein pages 19-21): David Bradley and Pedro Beltrao. Evolution of protein kinase substrate recognition at the active site. PLOS Biology, 17:e3000341, Jun 2019. URL: https://doi.org/10.1371/journal.pbio.3000341, doi:10.1371/journal.pbio.3000341. This article has 75 citations and is from a highest quality peer-reviewed journal.</w:t>
      </w:r>
    </w:p>
    <w:p>
      <w:pPr>
        <w:numPr>
          <w:ilvl w:val="0"/>
          <w:numId w:val="1002"/>
        </w:numPr>
      </w:pPr>
      <w:r>
        <w:t xml:space="preserve">(faezov2023alphafold2modelsof pages 1-4): Bulat Faezov and Roland L. Dunbrack. Alphafold2 models of the active form of all 437 catalytically competent human protein kinase domains. BioRxiv, Jul 2023. URL: https://doi.org/10.1101/2023.07.21.550125, doi:10.1101/2023.07.21.550125. This article has 28 citations.</w:t>
      </w:r>
    </w:p>
    <w:p>
      <w:pPr>
        <w:numPr>
          <w:ilvl w:val="0"/>
          <w:numId w:val="1002"/>
        </w:numPr>
      </w:pPr>
      <w:r>
        <w:t xml:space="preserve">(fulcher2020functionsandregulation pages 1-2): Luke J. Fulcher and Gopal P. Sapkota. Functions and regulation of the serine/threonine protein kinase ck1 family: moving beyond promiscuity. Biochemical Journal, 477:4603-4621, Dec 2020. URL: https://doi.org/10.1042/bcj20200506, doi:10.1042/bcj20200506. This article has 56 citations and is from a domain leading peer-reviewed journal.</w:t>
      </w:r>
    </w:p>
    <w:p>
      <w:pPr>
        <w:numPr>
          <w:ilvl w:val="0"/>
          <w:numId w:val="1002"/>
        </w:numPr>
      </w:pPr>
      <w:r>
        <w:t xml:space="preserve">(garcia2023structureandfunction pages 13-13): Andrea Hernandez Garcia and Satish K. Nair. Structure and function of a class iii metal-independent lanthipeptide synthetase. ACS Central Science, 9:1944-1956, Oct 2023. URL: https://doi.org/10.1021/acscentsci.3c00484, doi:10.1021/acscentsci.3c00484. This article has 8 citations and is from a highest quality peer-reviewed journal.</w:t>
      </w:r>
    </w:p>
    <w:p>
      <w:pPr>
        <w:numPr>
          <w:ilvl w:val="0"/>
          <w:numId w:val="1002"/>
        </w:numPr>
      </w:pPr>
      <w:r>
        <w:t xml:space="preserve">(honzejkova2024structuralstudiesof pages 15-20): K Honzejková. Structural studies of selected protein complexes involved in signal transduction. Unknown journal, 2024.</w:t>
      </w:r>
    </w:p>
    <w:p>
      <w:pPr>
        <w:numPr>
          <w:ilvl w:val="0"/>
          <w:numId w:val="1002"/>
        </w:numPr>
      </w:pPr>
      <w:r>
        <w:t xml:space="preserve">(huang2021illuminatingunderstudiedkinases pages 25-31): LC Huang. Illuminating understudied kinases and facilitating drug discovery through integrative protein kinase resources and machine learning methods. Unknown journal, 2021.</w:t>
      </w:r>
    </w:p>
    <w:p>
      <w:pPr>
        <w:numPr>
          <w:ilvl w:val="0"/>
          <w:numId w:val="1002"/>
        </w:numPr>
      </w:pPr>
      <w:r>
        <w:t xml:space="preserve">(huang2024reconstructingthedeep pages 1-3): EJ Huang, Jeeun Parksong, Amy F. Peterson, Fernando Torres, Sergi Regot, and Gabriel S. Bever. Reconstructing the deep phylogeny of the mapk signaling network: functional specialization via multi-tier coevolutionary expansion. BioRxiv, Oct 2024. URL: https://doi.org/10.1101/2024.10.01.616093, doi:10.1101/2024.10.01.616093. This article has 0 citations.</w:t>
      </w:r>
    </w:p>
    <w:p>
      <w:pPr>
        <w:numPr>
          <w:ilvl w:val="0"/>
          <w:numId w:val="1002"/>
        </w:numPr>
      </w:pPr>
      <w:r>
        <w:t xml:space="preserve">(huang2024reconstructingthedeep pages 20-22): EJ Huang, Jeeun Parksong, Amy F. Peterson, Fernando Torres, Sergi Regot, and Gabriel S. Bever. Reconstructing the deep phylogeny of the mapk signaling network: functional specialization via multi-tier coevolutionary expansion. BioRxiv, Oct 2024. URL: https://doi.org/10.1101/2024.10.01.616093, doi:10.1101/2024.10.01.616093. This article has 0 citations.</w:t>
      </w:r>
    </w:p>
    <w:p>
      <w:pPr>
        <w:numPr>
          <w:ilvl w:val="0"/>
          <w:numId w:val="1002"/>
        </w:numPr>
      </w:pPr>
      <w:r>
        <w:t xml:space="preserve">(huang2024reconstructingthedeep pages 7-10): EJ Huang, Jeeun Parksong, Amy F. Peterson, Fernando Torres, Sergi Regot, and Gabriel S. Bever. Reconstructing the deep phylogeny of the mapk signaling network: functional specialization via multi-tier coevolutionary expansion. BioRxiv, Oct 2024. URL: https://doi.org/10.1101/2024.10.01.616093, doi:10.1101/2024.10.01.616093. This article has 0 citations.</w:t>
      </w:r>
    </w:p>
    <w:p>
      <w:pPr>
        <w:numPr>
          <w:ilvl w:val="0"/>
          <w:numId w:val="1002"/>
        </w:numPr>
      </w:pPr>
      <w:r>
        <w:t xml:space="preserve">(johnson2023anatlasof pages 3-4):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2"/>
        </w:numPr>
      </w:pPr>
      <w:r>
        <w:t xml:space="preserve">(johnson2023anatlasof pages 4-5):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2"/>
        </w:numPr>
      </w:pPr>
      <w:r>
        <w:t xml:space="preserve">(johnson2023anatlasof pages 6-7):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2"/>
        </w:numPr>
      </w:pPr>
      <w:r>
        <w:t xml:space="preserve">(johnson2023anatlasof pages 7-7):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2"/>
        </w:numPr>
      </w:pPr>
      <w:r>
        <w:t xml:space="preserve">(johnson2023anatlasof pages 9-10):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2"/>
        </w:numPr>
      </w:pPr>
      <w:r>
        <w:t xml:space="preserve">(kwon2019tracingtheevolution pages 145-150): HA Kwon. Tracing the evolution of the tyrosine kinome from sequence to function. Unknown journal, 2019.</w:t>
      </w:r>
    </w:p>
    <w:p>
      <w:pPr>
        <w:numPr>
          <w:ilvl w:val="0"/>
          <w:numId w:val="1002"/>
        </w:numPr>
      </w:pPr>
      <w:r>
        <w:t xml:space="preserve">(kwon2019tracingtheevolution pages 15-19): HA Kwon. Tracing the evolution of the tyrosine kinome from sequence to function. Unknown journal, 2019.</w:t>
      </w:r>
    </w:p>
    <w:p>
      <w:pPr>
        <w:numPr>
          <w:ilvl w:val="0"/>
          <w:numId w:val="1002"/>
        </w:numPr>
      </w:pPr>
      <w:r>
        <w:t xml:space="preserve">(lai2015investigationsofthe pages 1-6): Shenshen Lai. Investigations of the origin, regulation, and substrate specificities of protein kinases in the human kinome. Unknown journal, 2015. URL: https://doi.org/10.14288/1.0167195, doi:10.14288/1.0167195. This article has 0 citations.</w:t>
      </w:r>
    </w:p>
    <w:p>
      <w:pPr>
        <w:numPr>
          <w:ilvl w:val="0"/>
          <w:numId w:val="1002"/>
        </w:numPr>
      </w:pPr>
      <w:r>
        <w:t xml:space="preserve">(lai2015investigationsofthe pages 155-161): Shenshen Lai. Investigations of the origin, regulation, and substrate specificities of protein kinases in the human kinome. Unknown journal, 2015. URL: https://doi.org/10.14288/1.0167195, doi:10.14288/1.0167195. This article has 0 citations.</w:t>
      </w:r>
    </w:p>
    <w:p>
      <w:pPr>
        <w:numPr>
          <w:ilvl w:val="0"/>
          <w:numId w:val="1002"/>
        </w:numPr>
      </w:pPr>
      <w:r>
        <w:t xml:space="preserve">(lai2015investigationsofthe pages 190-194): Shenshen Lai. Investigations of the origin, regulation, and substrate specificities of protein kinases in the human kinome. Unknown journal, 2015. URL: https://doi.org/10.14288/1.0167195, doi:10.14288/1.0167195. This article has 0 citations.</w:t>
      </w:r>
    </w:p>
    <w:p>
      <w:pPr>
        <w:numPr>
          <w:ilvl w:val="0"/>
          <w:numId w:val="1002"/>
        </w:numPr>
      </w:pPr>
      <w:r>
        <w:t xml:space="preserve">(lai2015investigationsofthe pages 9-17): Shenshen Lai. Investigations of the origin, regulation, and substrate specificities of protein kinases in the human kinome. Unknown journal, 2015. URL: https://doi.org/10.14288/1.0167195, doi:10.14288/1.0167195. This article has 0 citations.</w:t>
      </w:r>
    </w:p>
    <w:p>
      <w:pPr>
        <w:numPr>
          <w:ilvl w:val="0"/>
          <w:numId w:val="1002"/>
        </w:numPr>
      </w:pPr>
      <w:r>
        <w:t xml:space="preserve">(reinhardt2023acriticalevaluation pages 22-23): Ronja Reinhardt and Thomas A Leonard. A critical evaluation of protein kinase regulation by activation loop autophosphorylation. eLife, Jul 2023. URL: https://doi.org/10.7554/elife.88210, doi:10.7554/elife.88210. This article has 43 citations and is from a domain leading peer-reviewed journal.</w:t>
      </w:r>
    </w:p>
    <w:p>
      <w:pPr>
        <w:numPr>
          <w:ilvl w:val="0"/>
          <w:numId w:val="1002"/>
        </w:numPr>
      </w:pPr>
      <w:r>
        <w:t xml:space="preserve">(romano2016computationalengineeringof pages 13-19): Valentina Romano. Computational engineering of co-substrate specificity in protein kinases. Unknown journal, 2016. URL: https://doi.org/10.5451/unibas-006624656, doi:10.5451/unibas-006624656. This article has 1 citations.</w:t>
      </w:r>
    </w:p>
    <w:p>
      <w:pPr>
        <w:numPr>
          <w:ilvl w:val="0"/>
          <w:numId w:val="1002"/>
        </w:numPr>
      </w:pPr>
      <w:r>
        <w:t xml:space="preserve">(solorza2019molecularinsightsinto pages 42-44): Jocelyn Solorza, Rodrigo Recabarren, and Jans H. Alzate-Morales. Molecular insights into the trapping effect of ca</w:t>
      </w:r>
      <w:r>
        <w:t xml:space="preserve">2+</w:t>
      </w:r>
      <w:r>
        <w:t xml:space="preserve">in protein kinase a: a molecular dynamics study. Journal of Chemical Information and Modeling, 60:898-914, Dec 2019. URL: https://doi.org/10.1021/acs.jcim.9b00857, doi:10.1021/acs.jcim.9b00857. This article has 3 citations and is from a peer-reviewed journal.</w:t>
      </w:r>
    </w:p>
    <w:p>
      <w:pPr>
        <w:numPr>
          <w:ilvl w:val="0"/>
          <w:numId w:val="1002"/>
        </w:numPr>
      </w:pPr>
      <w:r>
        <w:t xml:space="preserve">(sugiyama2019largescalediscoveryof pages 3-4): Naoyuki Sugiyama, Haruna Imamura, and Yasushi Ishihama. Large-scale discovery of substrates of the human kinome. Scientific Reports, Jul 2019. URL: https://doi.org/10.1038/s41598-019-46385-4, doi:10.1038/s41598-019-46385-4. This article has 119 citations and is from a poor quality or predatory journal.</w:t>
      </w:r>
    </w:p>
    <w:p>
      <w:pPr>
        <w:numPr>
          <w:ilvl w:val="0"/>
          <w:numId w:val="1002"/>
        </w:numPr>
      </w:pPr>
      <w:r>
        <w:t xml:space="preserve">(sugiyama2019largescalediscoveryof pages 6-8): Naoyuki Sugiyama, Haruna Imamura, and Yasushi Ishihama. Large-scale discovery of substrates of the human kinome. Scientific Reports, Jul 2019. URL: https://doi.org/10.1038/s41598-019-46385-4, doi:10.1038/s41598-019-46385-4. This article has 119 citations and is from a poor quality or predatory journal.</w:t>
      </w:r>
    </w:p>
    <w:p>
      <w:pPr>
        <w:numPr>
          <w:ilvl w:val="0"/>
          <w:numId w:val="1002"/>
        </w:numPr>
      </w:pPr>
      <w:r>
        <w:t xml:space="preserve">(wilson2018newperspectivesopportunities pages 20-24): Leah J. Wilson, Adam Linley, Dean E. Hammond, Fiona E. Hood, Judy M. Coulson, David J. MacEwan, Sarah J. Ross, Joseph R. Slupsky, Paul D. Smith, Patrick A. Eyers, and Ian A. Prior. New perspectives, opportunities, and challenges in exploring the human protein kinome. Cancer Research, 78:15-29, Jan 2018. URL: https://doi.org/10.1158/0008-5472.can-17-2291, doi:10.1158/0008-5472.can-17-2291. This article has 192 citations and is from a highest quality peer-reviewed journal.</w:t>
      </w:r>
    </w:p>
    <w:p>
      <w:pPr>
        <w:numPr>
          <w:ilvl w:val="0"/>
          <w:numId w:val="1002"/>
        </w:numPr>
      </w:pPr>
      <w:r>
        <w:t xml:space="preserve">(zeke2016jnksignalingregulation pages 1-2): András Zeke, Mariya Misheva, Attila Reményi, and Marie A. Bogoyevitch. Jnk signaling: regulation and functions based on complex protein-protein partnerships. Microbiology and Molecular Biology Reviews, 80:793-835, Sep 2016. URL: https://doi.org/10.1128/mmbr.00043-14, doi:10.1128/mmbr.00043-14. This article has 562 citations and is from a domain leading peer-reviewed journal.</w:t>
      </w:r>
    </w:p>
    <w:p>
      <w:pPr>
        <w:numPr>
          <w:ilvl w:val="0"/>
          <w:numId w:val="1002"/>
        </w:numPr>
      </w:pPr>
      <w:r>
        <w:t xml:space="preserve">(gogl2019disorderedproteinkinase pages 8-10): Gergő Gógl, Alexandr P. Kornev, Attila Reményi, and Susan S. Taylor. Disordered protein kinase regions in regulation of kinase domain cores. Trends in Biochemical Sciences, 44:300-311, Apr 2019. URL: https://doi.org/10.1016/j.tibs.2018.12.002, doi:10.1016/j.tibs.2018.12.002. This article has 74 citations and is from a domain leading peer-reviewed journal.</w:t>
      </w:r>
    </w:p>
    <w:p>
      <w:pPr>
        <w:numPr>
          <w:ilvl w:val="0"/>
          <w:numId w:val="1002"/>
        </w:numPr>
      </w:pPr>
      <w:r>
        <w:t xml:space="preserve">(huang2024reconstructingthedeep pages 5-7): EJ Huang, Jeeun Parksong, Amy F. Peterson, Fernando Torres, Sergi Regot, and Gabriel S. Bever. Reconstructing the deep phylogeny of the mapk signaling network: functional specialization via multi-tier coevolutionary expansion. BioRxiv, Oct 2024. URL: https://doi.org/10.1101/2024.10.01.616093, doi:10.1101/2024.10.01.616093. This article has 0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2025-05-22T17:59:03Z</dcterms:created>
  <dcterms:modified xsi:type="dcterms:W3CDTF">2025-05-22T17:59:03Z</dcterms:modified>
</cp:coreProperties>
</file>

<file path=docProps/custom.xml><?xml version="1.0" encoding="utf-8"?>
<Properties xmlns="http://schemas.openxmlformats.org/officeDocument/2006/custom-properties" xmlns:vt="http://schemas.openxmlformats.org/officeDocument/2006/docPropsVTypes"/>
</file>