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Cyclin‐dependent kinase 15 (CDK15), also referred to as PFTK2 or ALS2CR7, is a member of the cyclin‐dependent kinase family within the CMGC group of serine/threonine kinases. Comparative studies of the human kinome indicate that CDK15 shares the highly conserved catalytic core that is a signature of all CDKs. Sequence alignments and domain analyses show that CDK15 clusters with the atypical CDKs, specifically grouping members in the PFTAIRE subgroup alongside CDK14. This subgroup is defined by a conserved PFTAIRE motif that is present in the cyclin binding region, and the evolutionary divergence seen in these regions likely reflects differences in regulatory interactions among family members. Orthologs of CDK15 have been identified in a broad range of vertebrate species, supporting its ancient evolutionary origin that predates the divergence of modern vertebrates. This conservation across species highlights the preservation of its catalytic mechanisms while allowing specialized functions to emerge. Moreover, the evolutionary lineage of CDK15 is distinct from that of the canonical cell cycle regulators (for example, CDK1 and CDK2), suggesting that while it retains the critical structural motifs characteristic of CDKs, it has evolved additional or alternative roles such as involvement in apoptotic signaling pathways. (amrhein2022discoveryof3amino1hpyrazolebased pages 28-30, johnson2023anatlasof pages 1-2, karimbayli2022dissectingtherole pages 16-19, karimbayli2022dissectingtherolea pages 16-19, kamkar2015pftaire1(cyclindependent pages 24-29)</w:t>
      </w:r>
    </w:p>
    <w:p>
      <w:pPr>
        <w:pStyle w:val="BodyText"/>
      </w:pPr>
      <w:r>
        <w:t xml:space="preserve">The phylogenetic placement of CDK15 within the atypical CDKs indicates that, despite its shared ancestry with cell cycle–regulating CDKs, it has undergone evolutionary refinement that distinguishes its biological role. These sequence comparisons underscore that while the core catalytic domain is maintained, regions responsible for cyclin interactions and substrate specificity are variable. Such divergence is common among kinases that have adopted more specialized cellular functions. Therefore, CDK15 is conserved through vertebrate evolution and is clearly segregated in the human kinome into a subgroup that is associated with more specialized regulatory processes, such as modulating apoptosis rather than driving cell cycle transitions. (johnson2023anatlasof pages 1-2)</w:t>
      </w:r>
    </w:p>
    <w:p>
      <w:pPr>
        <w:pStyle w:val="BodyText"/>
      </w:pPr>
      <w:r>
        <w:rPr>
          <w:b/>
          <w:bCs/>
        </w:rPr>
        <w:t xml:space="preserve">2. Reaction Catalyzed:</w:t>
      </w:r>
      <w:r>
        <w:br/>
      </w:r>
      <w:r>
        <w:t xml:space="preserve">CDK15 catalyzes an ATP‐dependent phosphorylation reaction that is a hallmark of serine/threonine protein kinases. The enzyme mediates the transfer of the γ‐phosphate group from ATP to the hydroxyl group of serine or threonine residues on its protein substrates. Expressed in a succinct chemical equation, this reaction is:</w:t>
      </w:r>
    </w:p>
    <w:p>
      <w:pPr>
        <w:pStyle w:val="BodyText"/>
      </w:pPr>
      <w:r>
        <w:t xml:space="preserve">  ATP + [protein]-(L-serine or L-threonine) → ADP + [protein]-(L-serine/threonine)-phosphate + H⁺.</w:t>
      </w:r>
    </w:p>
    <w:p>
      <w:pPr>
        <w:pStyle w:val="BodyText"/>
      </w:pPr>
      <w:r>
        <w:t xml:space="preserve">This reaction underpins the modification of substrate proteins, converting them into their active or functionally distinct phosphorylated forms. Such phosphorylation events are crucial for the propagation and regulation of downstream signaling cascades, ensuring precise control of cellular responses. In the case of CDK15, this catalytic mechanism is employed to regulate antiapoptotic processes by modifying key substrates. (amrhein2022discoveryof3amino1hpyrazolebased pages 28-30, johnson2023anatlasof pages 1-2, bradley2019evolutionofprotein pages 1-2)</w:t>
      </w:r>
    </w:p>
    <w:p>
      <w:pPr>
        <w:pStyle w:val="BodyText"/>
      </w:pPr>
      <w:r>
        <w:rPr>
          <w:b/>
          <w:bCs/>
        </w:rPr>
        <w:t xml:space="preserve">3. Cofactor Requirements:</w:t>
      </w:r>
      <w:r>
        <w:br/>
      </w:r>
      <w:r>
        <w:t xml:space="preserve">The kinase activity of CDK15 is strictly dependent on the presence of divalent metal ions, with Mg²⁺ serving as the principal cofactor. Mg²⁺ interacts directly with ATP in the active site of CDK15, effectively stabilizing the negative charges on the phosphate groups and facilitating the nucleophilic attack required for phosphoryl transfer. This stabilization is a necessary step in achieving an energetically favorable transition state during the catalytic process. In serine/threonine kinases such as CDK15, the dependence on Mg²⁺ is a well-accepted requirement, and no evidence suggests that alternative metal ions (such as Mn²⁺ or Ca²⁺) substitute with comparable efficiency in this enzymatic reaction. The specificity for Mg²⁺ is thus an integral component of CDK15’s mechanism of phosphoryl group transfer. (amrhein2022discoveryof3amino1hpyrazolebased pages 28-30, east2024quantitativeproteomicmass pages 3-4, johnson2023anatlasof pages 1-2)</w:t>
      </w:r>
    </w:p>
    <w:p>
      <w:pPr>
        <w:pStyle w:val="BodyText"/>
      </w:pPr>
      <w:r>
        <w:rPr>
          <w:b/>
          <w:bCs/>
        </w:rPr>
        <w:t xml:space="preserve">4. Substrate Specificity:</w:t>
      </w:r>
      <w:r>
        <w:br/>
      </w:r>
      <w:r>
        <w:t xml:space="preserve">Detailed substrate specificity profiling using comprehensive peptide library assays has demonstrated that CDK15 displays substrate preferences that mirror those observed in numerous cyclin‐dependent kinases. In particular, CDK15 preferentially phosphorylates serine or threonine residues when these amino acids are immediately followed by a proline residue, a feature that is characteristic of proline-directed kinases. Thus, the enriched consensus motif is expected to be an S/T-P motif, which forms the minimal element for recognition. However, additional flanking sequences may influence binding efficacy and contribute to the overall substrate fidelity observed in CDK15 activity. Empirical evidence further supports that CDK15 phosphorylates BIRC5 (Survivin) specifically at threonine 34—an event that is critical for its role in modulating apoptotic signaling pathways. Computational motif analyses and scoring matrices generated from large-scale substrate specificity atlases indicate that several substrate determinants besides the minimal S/T-P motif exist, contributing to optimal substrate interaction. These analyses suggest that recognition by CDK15 is governed by conserved active site residues that not only prefer a proline in the +1 position but may also involve additional positive or negative selection residues within the neighborhood of the phosphorylation site. The substrate specificity for CDK15 is, therefore, a composite of a primary proline-directed motif with additional sequence determinants that enhance substrate selectivity. (johnson2023anatlasof pages 1-2, johnson2023anatlasof pages 7-7, karimbayli2022dissectingtherole pages 16-19, jha2025deeplearningcoupledproximity pages 22-24, bradley2019evolutionofprotein pages 15-16, essegian2022datadrivencomputational pages 30-34)</w:t>
      </w:r>
    </w:p>
    <w:p>
      <w:pPr>
        <w:pStyle w:val="BodyText"/>
      </w:pPr>
      <w:r>
        <w:rPr>
          <w:b/>
          <w:bCs/>
        </w:rPr>
        <w:t xml:space="preserve">5. Structure:</w:t>
      </w:r>
      <w:r>
        <w:br/>
      </w:r>
      <w:r>
        <w:t xml:space="preserve">The three-dimensional structure of CDK15 conforms to the canonical architecture typical of cyclin‐dependent kinases. The central feature is a conserved protein kinase domain, which is predicted to adopt a bilobal configuration. The N-terminal lobe is composed largely of β-sheets, while the C-terminal lobe predominantly contains α-helices. These two lobes come together to form a catalytic cleft that houses the ATP-binding pocket, an essential element for catalysis. Within this domain, several key motifs have been identified based on sequence conservation and computational modeling.</w:t>
      </w:r>
      <w:r>
        <w:br/>
      </w:r>
      <w:r>
        <w:t xml:space="preserve">One critical element is the DFG motif located at the start of the activation loop; this motif plays a decisive role in coordinating the Mg²⁺ ion and positioning ATP for phosphoryl transfer. Similarly, a catalytic aspartate residue, located in the catalytic loop, is indispensable for transferring the phosphate group from ATP to the substrate. The C-helix in the N-terminal lobe is another vital structural element, responsible for the proper alignment of catalytic residues and stabilization of the kinase’s active conformation. The activation or T-loop, which is a flexible segment within the kinase domain, undergoes phosphorylation-induced conformational changes that switch the enzyme from an inactive to an active state. Although no crystal structure specific to CDK15 has yet been published, state-of-the-art models, such as those rendered by AlphaFold, predict a structure consistent with the established CDK fold.</w:t>
      </w:r>
      <w:r>
        <w:br/>
      </w:r>
      <w:r>
        <w:t xml:space="preserve">Additionally, CDK15 possesses N- and C-terminal extensions that deviate from the conserved kinase core. These terminal regions are less conserved among the CDKs and may be involved in mediating protein–protein interactions or dictating subcellular localization. While the precise functional contributions of these extensions remain to be comprehensively characterized, they might provide interaction surfaces for potential regulatory partners. Overall, the structural model of CDK15 highlights a well-organized kinase domain with all the canonical features required for ATP binding and phosphoryl transfer, interspersed with variable regions that may confer regulatory specificity or subcellular targeting. (johnson2023anatlasof pages 7-7, bradley2019evolutionofprotein pages 9-11, east2024quantitativeproteomicmass pages 3-4, malumbres2014cyclindependentkinases pages 6-7, kamkar2015pftaire1(cyclindependent pages 24-29)</w:t>
      </w:r>
    </w:p>
    <w:p>
      <w:pPr>
        <w:pStyle w:val="BodyText"/>
      </w:pPr>
      <w:r>
        <w:rPr>
          <w:b/>
          <w:bCs/>
        </w:rPr>
        <w:t xml:space="preserve">6. Regulation:</w:t>
      </w:r>
      <w:r>
        <w:br/>
      </w:r>
      <w:r>
        <w:t xml:space="preserve">Regulatory control of CDK15 is achieved by mechanisms that are common among cyclin‐dependent kinases. Central to its regulation are post-translational modifications such as phosphorylation within the activation loop. The phosphorylation of residues in this region is known to induce conformational shifts that enable the full catalytic activity of the enzyme, a paradigm well-documented in other CDKs. While the specific cyclin partner(s) for CDK15 have not been definitively identified, its classification within the CDK family suggests that cyclin binding is likely an essential regulatory event. In many CDKs, cyclin association serves both as a mechanism for substrate recruitment and as an allosteric activator that stabilizes the active conformation of the catalytic domain.</w:t>
      </w:r>
      <w:r>
        <w:br/>
      </w:r>
      <w:r>
        <w:t xml:space="preserve">Additional layers of regulation may include ubiquitination, which could affect the stability and turnover of CDK15, although direct experimental evidence for such modification in CDK15 remains limited. Moreover, potential allosteric regulators might exist that influence its kinetic parameters or substrate specificity, as seen with other kinases; however, these regulatory modes have not been firmly established for CDK15. An important aspect of CDK15 regulation is its role in promoting cell survival via the phosphorylation of BIRC5 (Survivin) at threonine 34. This modification is directly linked to its antiapoptotic function, indicating that the precise control of CDK15’s activity is integrated into the broader apoptotic signaling network. Maintaining the proper phosphorylation state of both CDK15 and its substrate is therefore pivotal in deciding cell fate, particularly in conditions where TRAIL/TNFSF10-induced apoptosis is a factor. In summary, the regulation of CDK15 likely involves activation through T-loop phosphorylation and possibly cyclin binding, with additional post-translational modifications contributing to its fine-tuned control. (malumbres2014cyclindependentkinases pages 6-7, bradley2019evolutionofprotein pages 11-12, karimbayli2022dissectingtheroleb pages 16-19, amrhein2022discoveryof3amino1hpyrazolebased pages 28-30, jha2025deeplearningcoupledproximity pages 20-22)</w:t>
      </w:r>
    </w:p>
    <w:p>
      <w:pPr>
        <w:pStyle w:val="BodyText"/>
      </w:pPr>
      <w:r>
        <w:rPr>
          <w:b/>
          <w:bCs/>
        </w:rPr>
        <w:t xml:space="preserve">7. Function:</w:t>
      </w:r>
      <w:r>
        <w:br/>
      </w:r>
      <w:r>
        <w:t xml:space="preserve">CDK15 functions as a serine/threonine protein kinase with a critical role in the regulation of apoptotic signaling. Its primary functional activity is to phosphorylate the inhibitor of apoptosis protein BIRC5 (Survivin) specifically at threonine 34. This modification is integral to CDK15’s antiapoptotic function, as it stabilizes Survivin by preventing its proteolytic degradation. By doing so, CDK15 counteracts signals that would otherwise lead to the activation of caspases and the execution of apoptosis, particularly in response to TRAIL/TNFSF10 stimulation.</w:t>
      </w:r>
      <w:r>
        <w:br/>
      </w:r>
      <w:r>
        <w:t xml:space="preserve">The impact of CDK15 activity on cell survival has implications in a variety of cellular contexts. Expression analyses, although not entirely comprehensive, have indicated that CDK15 is expressed in multiple tissues; there is evidence to suggest that its expression may be relatively higher in neural tissues, which aligns with its alternative designation as ALS2CR7. This elevated expression in specific tissues may reflect a specialized role in protecting differentiated cells from apoptotic stress. Beyond its antiapoptotic activity, CDK15 is also implicated in broader signaling networks that govern cell cycle regulation and transcription, although its precise role in these processes remains less well defined compared to canonical CDKs involved in cell cycle progression. Overall, CDK15 occupies an important niche in the intracellular decision-making processes that balance survival and programmed cell death, primarily by modulating the phosphorylation state of key substrates like Survivin. (amrhein2022discoveryof3amino1hpyrazolebased pages 28-30, johnson2023anatlasof pages 1-2, karimbayli2022dissectingtherole pages 16-19, colas2020cyclindependentkinasesand pages 1-2, gopinathan2011establishedandnovel pages 1-4)</w:t>
      </w:r>
    </w:p>
    <w:p>
      <w:pPr>
        <w:pStyle w:val="BodyText"/>
      </w:pPr>
      <w:r>
        <w:rPr>
          <w:b/>
          <w:bCs/>
        </w:rPr>
        <w:t xml:space="preserve">8. Other Comments:</w:t>
      </w:r>
      <w:r>
        <w:br/>
      </w:r>
      <w:r>
        <w:t xml:space="preserve">CDK15 is known under several alternative names, including Amyotrophic lateral sclerosis 2 chromosomal region candidate gene 7 protein, Cell division protein kinase 15, and Serine/threonine-protein kinase PFTAIRE-2, each reflecting its varied historical discovery and functional characterizations. Despite extensive research into the antiapoptotic mechanisms that involve Survivin phosphorylation, selective inhibitors targeting CDK15 specifically are not yet available. Broad-spectrum CDK inhibitors may affect CDK15 activity unintentionally; however, the development of compounds with high specificity for CDK15 remains an important objective. Moreover, while the antiapoptotic role of CDK15 is well documented, disease associations—particularly its potential links with neurodegenerative disorders (indicated by the ALS2CR7 nomenclature) or oncogenic pathways—have not been conclusively established through genetic mutation studies. The current literature underscores that there is a significant gap in understanding the detailed regulation, cellular interacting partners, and complete repertoire of substrates for CDK15. Continued research employing high-throughput proteomics, structural modeling, and rational inhibitor design is anticipated to further elucidate these aspects and potentially reveal new therapeutic avenues. (amrhein2022discoveryof3amino1hpyrazolebased pages 1-3, ferguson2019discoveryofcovalent pages 12-13, klenor2021rationaldesignof pages 29-31, colas2020cyclindependentkinasesand pages 1-2, gopinathan2011establishedandnovel pages 1-4, essegian2022datadrivencomputational pages 30-34)</w:t>
      </w:r>
    </w:p>
    <w:p>
      <w:pPr>
        <w:pStyle w:val="BodyText"/>
      </w:pPr>
      <w:r>
        <w:rPr>
          <w:b/>
          <w:bCs/>
        </w:rPr>
        <w:t xml:space="preserve">9. References:</w:t>
      </w:r>
      <w:r>
        <w:br/>
      </w:r>
      <w:r>
        <w:t xml:space="preserve">amrhein2022discoveryof3amino1hpyrazolebased pages 1-3; amrhein2022discoveryof3amino1hpyrazolebased pages 28-30; bradley2019evolutionofprotein pages 1-2; bradley2019evolutionofprotein pages 9-11; bradley2019evolutionofprotein pages 11-12; bradley2019evolutionofprotein pages 15-16; bradley2019evolutionofprotein pages 18-19; colas2020cyclindependentkinasesand pages 1-2; essegian2022datadrivencomputational pages 12-16; essegian2022datadrivencomputational pages 30-34; ferguson2019discoveryofcovalent pages 12-13; gopinathan2011establishedandnovel pages 1-4; johnson2023anatlasof pages 1-2; johnson2023anatlasof pages 3-4; johnson2023anatlasof pages 4-5; johnson2023anatlasof pages 6-7; johnson2023anatlasof pages 7-7; johnson2023anatlasof pages 9-10; jha2025deeplearningcoupledproximity pages 20-22; jha2025deeplearningcoupledproximity pages 22-24; kamkar2015pftaire1(cyclindependent pages 24-29; kamkar2015pftaire1(cyclindependent pages 29-34; karimbayli2022dissectingtherole pages 16-19; karimbayli2022dissectingtherolea pages 16-19; karimbayli2022dissectingtheroleb pages 16-19; klenor2021rationaldesignof pages 29-31.</w:t>
      </w:r>
    </w:p>
    <w:p>
      <w:pPr>
        <w:pStyle w:val="BodyText"/>
      </w:pPr>
      <w:r>
        <w:t xml:space="preserve">References</w:t>
      </w:r>
    </w:p>
    <w:p>
      <w:pPr>
        <w:numPr>
          <w:ilvl w:val="0"/>
          <w:numId w:val="1001"/>
        </w:numPr>
      </w:pPr>
      <w:r>
        <w:t xml:space="preserve">(amrhein2022discoveryof3amino1hpyrazolebased pages 28-30):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1"/>
        </w:numPr>
      </w:pPr>
      <w:r>
        <w:t xml:space="preserve">(east2024quantitativeproteomicmass pages 3-4): Michael P. East, Robert W. Sprung, Denis O. Okumu, J. Felix Olivares-Quintero, Chinmaya U. Joisa, Xin Chen, Qiang Zhang, Petra Erdmann-Gilmore, Yiling Mi, Noah Sciaky, James P. Malone, Sonam Bhatia, Ian C. McCabe, Yi Xu, Matthew D. Sutcliffe, Jingqin Luo, Patricia A. Spears, Charles M. Perou, H. Shelton Earp, Lisa A. Carey, Jen Jen Yeh, David L. Spector, Shawn M. Gomez, Philip M. Spanheimer, R. Reid Townsend, and Gary L. Johnson. Quantitative proteomic mass spectrometry of protein kinases to determine dynamic heterogeneity of the human kinome. BioRxiv, Oct 2024. URL: https://doi.org/10.1101/2024.10.04.614143, doi:10.1101/2024.10.04.614143. This article has 2 citations.</w:t>
      </w:r>
    </w:p>
    <w:p>
      <w:pPr>
        <w:numPr>
          <w:ilvl w:val="0"/>
          <w:numId w:val="1001"/>
        </w:numPr>
      </w:pPr>
      <w:r>
        <w:t xml:space="preserve">(essegian2022datadrivencomputational pages 30-34): DJ Essegian. Data driven computational discovery of novel small molecule cancer therapeutics. Unknown journal, 2022.</w:t>
      </w:r>
    </w:p>
    <w:p>
      <w:pPr>
        <w:numPr>
          <w:ilvl w:val="0"/>
          <w:numId w:val="1001"/>
        </w:numPr>
      </w:pPr>
      <w:r>
        <w:t xml:space="preserve">(ferguson2019discoveryofcovalent pages 12-13):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(kamkar2015pftaire1(cyclindependent pages 24-29): Fatemeh Kamkar. Pftaire1 (cyclin dependent kinase14): role and function in axonal outgrowth during the development of the cns. Unknown journal, 2015. URL: https://doi.org/10.20381/ruor-4143, doi:10.20381/ruor-4143. This article has 0 citations.</w:t>
      </w:r>
    </w:p>
    <w:p>
      <w:pPr>
        <w:numPr>
          <w:ilvl w:val="0"/>
          <w:numId w:val="1001"/>
        </w:numPr>
      </w:pPr>
      <w:r>
        <w:t xml:space="preserve">(karimbayli2022dissectingtherole pages 16-19): J Karimbayli. Dissecting the role of cdk17 in epithelial ovarian cancer. Unknown journal, 2022.</w:t>
      </w:r>
    </w:p>
    <w:p>
      <w:pPr>
        <w:numPr>
          <w:ilvl w:val="0"/>
          <w:numId w:val="1001"/>
        </w:numPr>
      </w:pPr>
      <w:r>
        <w:t xml:space="preserve">(karimbayli2022dissectingtherolea pages 16-19): J Karimbayli. Dissecting the role of cdk17 in epithelial ovarian cancer. Unknown journal, 2022.</w:t>
      </w:r>
    </w:p>
    <w:p>
      <w:pPr>
        <w:numPr>
          <w:ilvl w:val="0"/>
          <w:numId w:val="1001"/>
        </w:numPr>
      </w:pPr>
      <w:r>
        <w:t xml:space="preserve">(karimbayli2022dissectingtheroleb pages 16-19): J Karimbayli. Dissecting the role of cdk17 in epithelial ovarian cancer. Unknown journal, 2022.</w:t>
      </w:r>
    </w:p>
    <w:p>
      <w:pPr>
        <w:numPr>
          <w:ilvl w:val="0"/>
          <w:numId w:val="1001"/>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1"/>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1"/>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11-12):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15-16):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18-19):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9-11):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1"/>
        </w:numPr>
      </w:pPr>
      <w:r>
        <w:t xml:space="preserve">(essegian2022datadrivencomputational pages 12-16): DJ Essegian. Data driven computational discovery of novel small molecule cancer therapeutics. Unknown journal, 2022.</w:t>
      </w:r>
    </w:p>
    <w:p>
      <w:pPr>
        <w:numPr>
          <w:ilvl w:val="0"/>
          <w:numId w:val="1001"/>
        </w:numPr>
      </w:pPr>
      <w:r>
        <w:t xml:space="preserve">(gopinathan2011establishedandnovel pages 1-4):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112 citations.</w:t>
      </w:r>
    </w:p>
    <w:p>
      <w:pPr>
        <w:numPr>
          <w:ilvl w:val="0"/>
          <w:numId w:val="1001"/>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1"/>
        </w:numPr>
      </w:pPr>
      <w:r>
        <w:t xml:space="preserve">(klenor2021rationaldesignof pages 29-31): M Klenor. Rational design of cyclin-dependent kinase inhibitors.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