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2 (CDK2) is a member of the cyclin-dependent kinase family that functions as a serine/threonine-protein kinase essential for cell cycle regulation. Phylogenetically, CDK2 is grouped within the CMGC branch of the kinome and is evolutionarily related to other CDKs such as CDK1 and CDK4/6, which share the conserved kinase fold and regulatory mechanisms. CDK2 can be traced back to the common ancestral eukaryotic cell cycle machinery, indicating that it is part of an evolutionarily ancient and conserved set of kinases responsible for cell cycle progression. Orthologs of CDK2 exist in diverse eukaryotic species, including yeast, plants, and mammals, underscoring its fundamental role in the regulation of G1/S transition and subsequent phases of cell division (OpenTargets Search: -CDK2, wood2018structuralinsightsinto pages 2-3).</w:t>
      </w:r>
    </w:p>
    <w:p>
      <w:pPr>
        <w:numPr>
          <w:ilvl w:val="0"/>
          <w:numId w:val="1001"/>
        </w:numPr>
      </w:pPr>
      <w:r>
        <w:t xml:space="preserve">Reaction Catalyzed</w:t>
      </w:r>
      <w:r>
        <w:br/>
      </w:r>
      <w:r>
        <w:t xml:space="preserve">CDK2 catalyzes the transfer of the γ-phosphate from ATP to the hydroxyl group of serine or threonine residues on its target proteins. In this phosphorylation reaction, ATP is converted to ADP while the substrate protein is modified to yield a phosphorylated serine/threonine residue along with the release of a proton. This reaction is central to the regulation of the cell cycle, as it enables the modification of key regulators such as the retinoblastoma protein (RB1), BRCA2, and various transcription factors, thus altering their activity, interactions, or subcellular localization. In addition to its canonical substrates, CDK2 phosphorylates proteins involved in centrosome duplication, DNA repair, and transcriptional regulation, thereby integrating signals from cell cycle checkpoints with broader cellular functions (rohm2021functionstructureand pages 1-4, somarelli2020aprecisionmedicine pages 19-20).</w:t>
      </w:r>
    </w:p>
    <w:p>
      <w:pPr>
        <w:numPr>
          <w:ilvl w:val="0"/>
          <w:numId w:val="1001"/>
        </w:numPr>
      </w:pPr>
      <w:r>
        <w:t xml:space="preserve">Cofactor Requirements</w:t>
      </w:r>
      <w:r>
        <w:br/>
      </w:r>
      <w:r>
        <w:t xml:space="preserve">Activation of CDK2 requires the binding of ATP as the phosphate donor and magnesium ions (Mg²⁺) as essential cofactors to stabilize the ATP substrate during catalysis. The ATP binding occurs within a conserved cleft formed by the N-terminal lobe, which includes a glycine-rich loop (commonly described as the P-loop), and the C-terminal lobe of the kinase domain. Magnesium ions mediate the correct positioning of ATP phosphates and contribute to the proper orientation of catalytic residues, ensuring efficient phosphoryl transfer. No additional cofactors are known to be strictly required for the catalytic activity of CDK2, although the association with cyclins (such as cyclin E and cyclin A) is crucial for inducing the proper conformational rearrangements that maximize its enzymatic activity (wood2018structuralinsightsinto pages 2-3).</w:t>
      </w:r>
    </w:p>
    <w:p>
      <w:pPr>
        <w:numPr>
          <w:ilvl w:val="0"/>
          <w:numId w:val="1001"/>
        </w:numPr>
      </w:pPr>
      <w:r>
        <w:t xml:space="preserve">Substrate Specificity</w:t>
      </w:r>
      <w:r>
        <w:br/>
      </w:r>
      <w:r>
        <w:t xml:space="preserve">CDK2 exhibits substrate specificity that is determined largely by its interaction with cyclin partners, which facilitate the recognition of key amino acid motifs on target proteins. Physiologically, CDK2 phosphorylates substrates implicated in cell cycle progression including the retinoblastoma protein (RB1), BRCA2, NPAT, and transcriptional regulators such as MYC and p53. The kinase targets a serine/threonine residue that often lies within a specific peptide sequence context; although a strict consensus motif is not universally defined, many substrates conform to a motif that requires a proline residue immediately following the phosphorylated serine/threonine, sometimes in combination with basic residues upstream. Complex formation with cyclin E during the early stages of DNA synthesis or with cyclin A during later S phase transitions facilitates substrate recruitment; for example, cyclin-bound CDK2 phosphorylates NPAT to trigger histone gene transcription necessary for DNA replication (łukasik2021cyclindependentkinases(cdk) pages 11-12, somarelli2020aprecisionmedicine pages 12-14). Furthermore, docking motifs present in substrates can enhance binding and promote efficient phosphorylation by CDK2, ensuring that regulatory events such as centrosome duplication and DNA damage checkpoint activation are executed with high fidelity (faustova2021anewlinear pages 16-16).</w:t>
      </w:r>
    </w:p>
    <w:p>
      <w:pPr>
        <w:numPr>
          <w:ilvl w:val="0"/>
          <w:numId w:val="1001"/>
        </w:numPr>
      </w:pPr>
      <w:r>
        <w:t xml:space="preserve">Structure</w:t>
      </w:r>
      <w:r>
        <w:br/>
      </w:r>
      <w:r>
        <w:t xml:space="preserve">CDK2 comprises a central conserved kinase domain that is organized into two lobes – a smaller N-terminal lobe largely composed of β-strands that contains the glycine-rich loop, and a larger C-terminal lobe primarily made up of α-helices. The active site, which lies in the cleft between these lobes, houses the ATP-binding pocket and the catalytic machinery, including key residues such as a lysine (commonly K33) that interacts with the phosphates of ATP and a catalytic aspartate residue that participates in phosphoryl transfer. The activation loop (A-loop) of CDK2 contains a critical threonine residue (T160) whose phosphorylation is essential for full kinase activation; phosphorylation leads to a reorientation of the activation loop that allows substrate access and stabilizes the active conformation (wood2018structuralinsightsinto pages 4-5, majumdar2021allosterygovernscdk2 pages 3-4). In its inactive state, monomeric CDK2 adopts an “A-loop-in/αC-out” conformation, but binding to cyclin (such as cyclin E or cyclin A) promotes an “A-loop-out/αC-in” orientation conducive to catalysis. Crystal structures of the CDK2–cyclin A complex have revealed an extended interface that serves not only to enhance substrate specificity via docking interactions but also to facilitate the stabilization of key structural motifs that are critical for catalytic efficiency. The overall three-dimensional fold remains highly conserved among cyclin-dependent kinases, yet subtle differences in the activation loop dynamics and cyclin interaction surfaces contribute to the functional specialization of CDK2 in cell cycle regulation (wood2018structuralinsightsinto pages 5-6, wood2018structuralinsightsinto pages 21-22, zhang2024cdk2andcdk4 pages 1-2).</w:t>
      </w:r>
    </w:p>
    <w:p>
      <w:pPr>
        <w:numPr>
          <w:ilvl w:val="0"/>
          <w:numId w:val="1001"/>
        </w:numPr>
      </w:pPr>
      <w:r>
        <w:t xml:space="preserve">Regulation</w:t>
      </w:r>
      <w:r>
        <w:br/>
      </w:r>
      <w:r>
        <w:t xml:space="preserve">The regulation of CDK2 is multifaceted and involves several layers of control. First, its activation requires binding to specific cyclins; cyclin E association occurs during the G1/S transition while cyclin A binding predominates in the S and G2 phases. This cyclin association triggers conformational changes that reposition the αC-helix and activation loop, thereby aligning catalytic residues for efficient phosphoryl transfer. Furthermore, full CDK2 activation is achieved upon phosphorylation of the activation loop at threonine 160 by the CDK-activating kinase (CAK) complex. This phosphorylation event not only stabilizes the active conformation but also protects T160 from dephosphorylation, thereby sustaining kinase activity throughout the appropriate cell cycle phase (majumdar2021allosterygovernscdk2 pages 7-9, łukasik2021cyclindependentkinases(cdk) pages 27-29).</w:t>
      </w:r>
      <w:r>
        <w:br/>
      </w:r>
      <w:r>
        <w:t xml:space="preserve">Inhibition of CDK2 is mediated by cyclin-dependent kinase inhibitors (CKIs) such as p21 and p27, which bind to the CDK2–cyclin complex to sterically block substrate access to the active site. In addition, inhibitory phosphorylation events, such as on tyrosine residues (e.g., Y15 in some CDKs), can modulate activity although this mechanism is more prominently described in CDK1 than CDK2. Other regulatory influences include allosteric interactions that can affect the conformational dynamics between the “A-loop-in” and “A-loop-out” states. Small molecule inhibitors also exploit these allosteric differences to selectively target the active or inactive conformations of CDK2, which has implications for therapeutic intervention in cancer and other proliferative disorders (majumdar2021allosterygovernscdk2 pages 3-4, wood2019differencesinthe pages 11-11, poulainUnknownyearinvestigatingp21mediateddynamic pages 147-150).</w:t>
      </w:r>
    </w:p>
    <w:p>
      <w:pPr>
        <w:numPr>
          <w:ilvl w:val="0"/>
          <w:numId w:val="1001"/>
        </w:numPr>
      </w:pPr>
      <w:r>
        <w:t xml:space="preserve">Function</w:t>
      </w:r>
      <w:r>
        <w:br/>
      </w:r>
      <w:r>
        <w:t xml:space="preserve">CDK2 has a central role in orchestrating cell cycle transitions. It is primarily active during the G1 to S phase transition and throughout DNA replication and the G2 phase. During early G1-S transition, activation of CDK2 by cyclin E permits the initiation of E2F-mediated transcription and the commencement of DNA synthesis. Later, its association with cyclin A is crucial for the proper progression of S phase and for the subsequent activation of CDK1 at the G2/M boundary. CDK2 phosphorylates a range of substrates that control critical cellular processes. For instance, phosphorylation of RB1 by CDK2 disrupts the interaction between RB1 and E2F transcription factors, thereby enabling the expression of genes necessary for S phase entry. In addition, CDK2-mediated phosphorylation of NPAT promotes activation of histone gene transcription, a prerequisite for chromatin assembly during DNA replication. CDK2 also phosphorylates substrates involved in centrosome duplication (for instance, NPM1), DNA repair pathways (such as BRCA2 and ERCC6), and transcription factors like MYC to prevent senescence under conditions of oxidative stress. Beyond these roles, CDK2 is implicated in epigenetic regulation; its phosphorylation of EZH2 has been linked to the maintenance of H3K27 trimethylation and gene silencing, while it also contributes to the regulation of telomere repair via NBN phosphorylation. This broad range of substrates links CDK2 to the regulation of cellular proliferation, maintenance of genomic stability, and coordination of the DNA damage response, making it a key node in the balance between cell proliferation, apoptosis, and DNA repair (OpenTargets Search: -CDK2, łukasik2021cyclindependentkinases(cdk) pages 29-30, somarelli2020aprecisionmedicine pages 12-14).</w:t>
      </w:r>
    </w:p>
    <w:p>
      <w:pPr>
        <w:numPr>
          <w:ilvl w:val="0"/>
          <w:numId w:val="1001"/>
        </w:numPr>
      </w:pPr>
      <w:r>
        <w:t xml:space="preserve">Other Comments</w:t>
      </w:r>
      <w:r>
        <w:br/>
      </w:r>
      <w:r>
        <w:t xml:space="preserve">CDK2 has been the subject of intense investigation because of its central role in cell cycle control and its implication in oncogenesis. Dysregulation of CDK2, often through overexpression of its cyclin partners (especially cyclin E) or through mutations affecting its regulatory domains, is frequently observed in various cancers, including breast, ovarian, and colorectal cancers. This has spurred the development and testing of several small molecule inhibitors aimed at selectively targeting CDK2 activity. Inhibitors such as roscovitine, dinaciclib, and AZD5438 have been evaluated for their potential to induce cell cycle arrest and apoptosis in cancer cells, offering promise as therapeutic agents although challenges remain in ensuring specificity given the high structural similarity among CDK family members (somarelli2020aprecisionmedicine pages 12-14, wood2019differencesinthe pages 11-11).</w:t>
      </w:r>
      <w:r>
        <w:br/>
      </w:r>
      <w:r>
        <w:t xml:space="preserve">Moreover, CDK2’s role extends beyond conventional cell cycle regulation. Its involvement in the response to DNA damage, control of centrosome duplication, and modulation of transcription factor activity positions it as a critical mediator in cellular stress responses. The phosphorylation of proteins such as CTNNB1, p53/TP53, and USP37 links CDK2 activity to signaling pathways that govern both survival and apoptosis. In embryonic stem cells, for example, CDK2 orchestrates a fine balance between proliferation, differentiation, and DNA repair, underscoring its importance in early development. Current research continues to explore the diverse functions of CDK2 in both normal physiology and disease states, with efforts aimed at developing more selective inhibitors that minimize off-target effects while maximizing therapeutic efficacy (wood2018structuralinsightsinto pages 2-3, majumdar2021allosterygovernscdk2 pages 1-3, łukasik2021cyclindependentkinases(cdk) pages 22-23).</w:t>
      </w:r>
    </w:p>
    <w:p>
      <w:pPr>
        <w:numPr>
          <w:ilvl w:val="0"/>
          <w:numId w:val="1001"/>
        </w:numPr>
      </w:pPr>
      <w:r>
        <w:t xml:space="preserve">References</w:t>
      </w:r>
      <w:r>
        <w:br/>
      </w:r>
      <w:r>
        <w:t xml:space="preserve">OpenTargets Search: -CDK2</w:t>
      </w:r>
      <w:r>
        <w:br/>
      </w:r>
      <w:r>
        <w:t xml:space="preserve">majumdar2021allosterygovernscdk2 pages 1-3</w:t>
      </w:r>
      <w:r>
        <w:br/>
      </w:r>
      <w:r>
        <w:t xml:space="preserve">rohm2021functionstructureand pages 1-4</w:t>
      </w:r>
      <w:r>
        <w:br/>
      </w:r>
      <w:r>
        <w:t xml:space="preserve">wood2018structuralinsightsinto pages 2-3</w:t>
      </w:r>
      <w:r>
        <w:br/>
      </w:r>
      <w:r>
        <w:t xml:space="preserve">wood2018structuralinsightsinto pages 4-5</w:t>
      </w:r>
      <w:r>
        <w:br/>
      </w:r>
      <w:r>
        <w:t xml:space="preserve">wood2018structuralinsightsinto pages 5-6</w:t>
      </w:r>
      <w:r>
        <w:br/>
      </w:r>
      <w:r>
        <w:t xml:space="preserve">wood2018structuralinsightsinto pages 21-22</w:t>
      </w:r>
      <w:r>
        <w:br/>
      </w:r>
      <w:r>
        <w:t xml:space="preserve">wood2019differencesinthe pages 11-11</w:t>
      </w:r>
      <w:r>
        <w:br/>
      </w:r>
      <w:r>
        <w:t xml:space="preserve">zhang2024cdk2andcdk4 pages 1-2</w:t>
      </w:r>
      <w:r>
        <w:br/>
      </w:r>
      <w:r>
        <w:t xml:space="preserve">łukasik2021cyclindependentkinases(cdk) pages 11-12</w:t>
      </w:r>
      <w:r>
        <w:br/>
      </w:r>
      <w:r>
        <w:t xml:space="preserve">łukasik2021cyclindependentkinases(cdk) pages 22-23</w:t>
      </w:r>
      <w:r>
        <w:br/>
      </w:r>
      <w:r>
        <w:t xml:space="preserve">łukasik2021cyclindependentkinases(cdk) pages 27-29</w:t>
      </w:r>
      <w:r>
        <w:br/>
      </w:r>
      <w:r>
        <w:t xml:space="preserve">łukasik2021cyclindependentkinases(cdk) pages 29-30</w:t>
      </w:r>
      <w:r>
        <w:br/>
      </w:r>
      <w:r>
        <w:t xml:space="preserve">eichner2024proteinproteininteractionsin pages 166-169</w:t>
      </w:r>
      <w:r>
        <w:br/>
      </w:r>
      <w:r>
        <w:t xml:space="preserve">faustova2021anewlinear pages 16-16</w:t>
      </w:r>
      <w:r>
        <w:br/>
      </w:r>
      <w:r>
        <w:t xml:space="preserve">gao2021posttranslationalmodificationsof pages 15-15</w:t>
      </w:r>
      <w:r>
        <w:br/>
      </w:r>
      <w:r>
        <w:t xml:space="preserve">majumdar2021allosterygovernscdk2 pages 3-4</w:t>
      </w:r>
      <w:r>
        <w:br/>
      </w:r>
      <w:r>
        <w:t xml:space="preserve">majumdar2021allosterygovernscdk2 pages 4-6</w:t>
      </w:r>
      <w:r>
        <w:br/>
      </w:r>
      <w:r>
        <w:t xml:space="preserve">majumdar2021allosterygovernscdk2 pages 7-9</w:t>
      </w:r>
      <w:r>
        <w:br/>
      </w:r>
      <w:r>
        <w:t xml:space="preserve">poulainUnknownyearinvestigatingp21mediateddynamic pages 147-150</w:t>
      </w:r>
      <w:r>
        <w:br/>
      </w:r>
      <w:r>
        <w:t xml:space="preserve">poulainUnknownyearinvestigatingp21mediateddynamic pages 16-19</w:t>
      </w:r>
      <w:r>
        <w:br/>
      </w:r>
      <w:r>
        <w:t xml:space="preserve">poulainUnknownyearinvestigatingp21mediateddynamic pages 19-23</w:t>
      </w:r>
      <w:r>
        <w:br/>
      </w:r>
      <w:r>
        <w:t xml:space="preserve">rowland2024cryoemstructureof pages 11-12</w:t>
      </w:r>
      <w:r>
        <w:br/>
      </w:r>
      <w:r>
        <w:t xml:space="preserve">s2023genomewideidentificationevolutionary pages 1-2</w:t>
      </w:r>
      <w:r>
        <w:br/>
      </w:r>
      <w:r>
        <w:t xml:space="preserve">somarelli2020aprecisionmedicine pages 12-14</w:t>
      </w:r>
      <w:r>
        <w:br/>
      </w:r>
      <w:r>
        <w:t xml:space="preserve">somarelli2020aprecisionmedicine pages 19-20</w:t>
      </w:r>
      <w:r>
        <w:br/>
      </w:r>
      <w:r>
        <w:t xml:space="preserve">wood2018structuralinsightsinto pages 1-2</w:t>
      </w:r>
      <w:r>
        <w:br/>
      </w:r>
      <w:r>
        <w:t xml:space="preserve">wood2018structuralinsightsinto pages 10-11</w:t>
      </w:r>
      <w:r>
        <w:br/>
      </w:r>
      <w:r>
        <w:t xml:space="preserve">wood2018structuralinsightsinto pages 15-17</w:t>
      </w:r>
      <w:r>
        <w:br/>
      </w:r>
      <w:r>
        <w:t xml:space="preserve">wood2018structuralinsightsinto pages 17-18</w:t>
      </w:r>
      <w:r>
        <w:br/>
      </w:r>
      <w:r>
        <w:t xml:space="preserve">wood2018structuralinsightsinto pages 20-20</w:t>
      </w:r>
      <w:r>
        <w:br/>
      </w:r>
      <w:r>
        <w:t xml:space="preserve">wood2018structuralinsightsinto pages 20-21</w:t>
      </w:r>
      <w:r>
        <w:br/>
      </w:r>
      <w:r>
        <w:t xml:space="preserve">wood2018structuralinsightsinto pages 22-23</w:t>
      </w:r>
      <w:r>
        <w:br/>
      </w:r>
      <w:r>
        <w:t xml:space="preserve">wood2018structuralinsightsinto pages 3-4</w:t>
      </w:r>
      <w:r>
        <w:br/>
      </w:r>
      <w:r>
        <w:t xml:space="preserve">wood2018structuralinsightsinto pages 6-7</w:t>
      </w:r>
      <w:r>
        <w:br/>
      </w:r>
      <w:r>
        <w:t xml:space="preserve">wood2018structuralinsightsinto pages 8-9</w:t>
      </w:r>
      <w:r>
        <w:br/>
      </w:r>
      <w:r>
        <w:t xml:space="preserve">wood2019differencesinthe pages 13-14</w:t>
      </w:r>
      <w:r>
        <w:br/>
      </w:r>
      <w:r>
        <w:t xml:space="preserve">zhang2024cdk2andcdk4 pages 13-14</w:t>
      </w:r>
      <w:r>
        <w:br/>
      </w:r>
      <w:r>
        <w:t xml:space="preserve">zhang2024cdk2andcdk4 pages 3-4</w:t>
      </w:r>
      <w:r>
        <w:br/>
      </w:r>
      <w:r>
        <w:t xml:space="preserve">łukasik2021cyclindependentkinases(cdk) pages 1-2</w:t>
      </w:r>
      <w:r>
        <w:br/>
      </w:r>
      <w:r>
        <w:t xml:space="preserve">łukasik2021cyclindependentkinases(cdk) pages 12-14</w:t>
      </w:r>
      <w:r>
        <w:br/>
      </w:r>
      <w:r>
        <w:t xml:space="preserve">łukasik2021cyclindependentkinases(cdk) pages 2-4</w:t>
      </w:r>
      <w:r>
        <w:br/>
      </w:r>
      <w:r>
        <w:t xml:space="preserve">wood2018structuralinsightsinto pages 19-20</w:t>
      </w:r>
      <w:r>
        <w:br/>
      </w:r>
      <w:r>
        <w:t xml:space="preserve">wood2018structuralinsightsinto pages 8-9</w:t>
      </w:r>
      <w:r>
        <w:br/>
      </w:r>
      <w:r>
        <w:t xml:space="preserve">wood2019differencesinthe pages 13-14</w:t>
      </w:r>
      <w:r>
        <w:br/>
      </w:r>
      <w:r>
        <w:t xml:space="preserve">majumdar2021allosterygovernscdk2 pages 15-17</w:t>
      </w:r>
      <w:r>
        <w:br/>
      </w:r>
      <w:r>
        <w:t xml:space="preserve">poulainUnknownyearinvestigatingp21mediateddynamic pages 23-27</w:t>
      </w:r>
    </w:p>
    <w:p>
      <w:pPr>
        <w:pStyle w:val="FirstParagraph"/>
      </w:pPr>
      <w:r>
        <w:t xml:space="preserve">References</w:t>
      </w:r>
    </w:p>
    <w:p>
      <w:pPr>
        <w:numPr>
          <w:ilvl w:val="0"/>
          <w:numId w:val="1002"/>
        </w:numPr>
      </w:pPr>
      <w:r>
        <w:t xml:space="preserve">(OpenTargets Search: -CDK2): Open Targets Query (-CDK2, 22 results). Ochoa, D. et al. (2023). The next-generation Open Targets Platform: reimagined, redesigned, rebuilt. Nucleic Acids Research.</w:t>
      </w:r>
    </w:p>
    <w:p>
      <w:pPr>
        <w:numPr>
          <w:ilvl w:val="0"/>
          <w:numId w:val="1002"/>
        </w:numPr>
      </w:pPr>
      <w:r>
        <w:t xml:space="preserve">(majumdar2021allosterygovernscdk2 pages 1-3):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(rohm2021functionstructureand pages 1-4): Sandra Röhm, Andreas Krämer, and Stefan Knapp. Function, structure and topology of protein kinases. Topics in Medicinal Chemistry, pages 1-24, Jan 2021. URL: https://doi.org/10.1007/7355_2020_97, doi:10.1007/7355_2020_97. This article has 12 citations.</w:t>
      </w:r>
    </w:p>
    <w:p>
      <w:pPr>
        <w:numPr>
          <w:ilvl w:val="0"/>
          <w:numId w:val="1002"/>
        </w:numPr>
      </w:pPr>
      <w:r>
        <w:t xml:space="preserve">(wood2018structuralinsightsinto pages 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21-22):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4-5):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5-6):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(wood2019differencesinthe pages 11-11): Daniel J. Wood, Svitlana Korolchuk, Natalie J. Tatum, Lan-Zhen Wang, Jane A. Endicott, Martin E.M. Noble, and Mathew P. Martin. Differences in the conformational energy landscape of cdk1 and cdk2 suggest a mechanism for achieving selective cdk inhibition. Cell Chemical Biology, 26:121-130.e5, Jan 2019. URL: https://doi.org/10.1016/j.chembiol.2018.10.015, doi:10.1016/j.chembiol.2018.10.015. This article has 130 citations and is from a domain leading peer-reviewed journal.</w:t>
      </w:r>
    </w:p>
    <w:p>
      <w:pPr>
        <w:numPr>
          <w:ilvl w:val="0"/>
          <w:numId w:val="1002"/>
        </w:numPr>
      </w:pPr>
      <w:r>
        <w:t xml:space="preserve">(zhang2024cdk2andcdk4 pages 1-2):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(łukasik2021cyclindependentkinases(cdk) pages 11-12):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22-23):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27-29):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29-30):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(eichner2024proteinproteininteractionsin pages 166-169): A Eichner. Protein-protein interactions in cell cycle proteins: an in silico investigation of two important players. Unknown journal, 2024.</w:t>
      </w:r>
    </w:p>
    <w:p>
      <w:pPr>
        <w:numPr>
          <w:ilvl w:val="0"/>
          <w:numId w:val="1002"/>
        </w:numPr>
      </w:pPr>
      <w:r>
        <w:t xml:space="preserve">(faustova2021anewlinear pages 16-16): Ilona Faustova, Luka Bulatovic, Frida Matiyevskaya, Ervin Valk, Mihkel Örd, and Mart Loog. A new linear cyclin docking motif that mediates exclusively s‐phase cdk‐specific signaling. The EMBO Journal, Nov 2021. URL: https://doi.org/10.15252/embj.2020105839, doi:10.15252/embj.2020105839. This article has 29 citations.</w:t>
      </w:r>
    </w:p>
    <w:p>
      <w:pPr>
        <w:numPr>
          <w:ilvl w:val="0"/>
          <w:numId w:val="1002"/>
        </w:numPr>
      </w:pPr>
      <w:r>
        <w:t xml:space="preserve">(gao2021posttranslationalmodificationsof pages 15-15): Gui-Bin Gao, Yue Sun, Run-Dong Fang, Ying Wang, Yang Wang, and Qing-Yu He. Post-translational modifications of cdk5 and their biological roles in cancer. Molecular Biomedicine, Jul 2021. URL: https://doi.org/10.1186/s43556-021-00029-0, doi:10.1186/s43556-021-00029-0. This article has 14 citations.</w:t>
      </w:r>
    </w:p>
    <w:p>
      <w:pPr>
        <w:numPr>
          <w:ilvl w:val="0"/>
          <w:numId w:val="1002"/>
        </w:numPr>
      </w:pPr>
      <w:r>
        <w:t xml:space="preserve">(majumdar2021allosterygovernscdk2 pages 3-4):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(majumdar2021allosterygovernscdk2 pages 4-6):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(majumdar2021allosterygovernscdk2 pages 7-9):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(poulainUnknownyearinvestigatingp21mediateddynamic pages 147-150): L POULAIN. Investigating p21-mediated dynamic regulation of cdk1 and cyclin b1. Unknown journal, Unknown year.</w:t>
      </w:r>
    </w:p>
    <w:p>
      <w:pPr>
        <w:numPr>
          <w:ilvl w:val="0"/>
          <w:numId w:val="1002"/>
        </w:numPr>
      </w:pPr>
      <w:r>
        <w:t xml:space="preserve">(poulainUnknownyearinvestigatingp21mediateddynamic pages 16-19): L POULAIN. Investigating p21-mediated dynamic regulation of cdk1 and cyclin b1. Unknown journal, Unknown year.</w:t>
      </w:r>
    </w:p>
    <w:p>
      <w:pPr>
        <w:numPr>
          <w:ilvl w:val="0"/>
          <w:numId w:val="1002"/>
        </w:numPr>
      </w:pPr>
      <w:r>
        <w:t xml:space="preserve">(poulainUnknownyearinvestigatingp21mediateddynamic pages 19-23): L POULAIN. Investigating p21-mediated dynamic regulation of cdk1 and cyclin b1. Unknown journal, Unknown year.</w:t>
      </w:r>
    </w:p>
    <w:p>
      <w:pPr>
        <w:numPr>
          <w:ilvl w:val="0"/>
          <w:numId w:val="1002"/>
        </w:numPr>
      </w:pPr>
      <w:r>
        <w:t xml:space="preserve">(rowland2024cryoemstructureof pages 11-12): Rhianna J. Rowland, S. Korolchuk, M. Salamina, J. R. Ault, Sam Hart, J. Turkenburg, James N. Blaza, Martin E. M. Noble, and J. Endicott. Cryo-em structure of the cdk2-cyclin a-cdc25a complex. Nature Communications, Oct 2024. URL: https://doi.org/10.1038/s41467-024-51135-w, doi:10.1038/s41467-024-51135-w. This article has 3 citations and is from a highest quality peer-reviewed journal.</w:t>
      </w:r>
    </w:p>
    <w:p>
      <w:pPr>
        <w:numPr>
          <w:ilvl w:val="0"/>
          <w:numId w:val="1002"/>
        </w:numPr>
      </w:pPr>
      <w:r>
        <w:t xml:space="preserve">(s2023genomewideidentificationevolutionary pages 1-2): Gokul Babu S, Deependra Singh Gohil, and Swarup Roy Choudhury. Genome-wide identification, evolutionary and expression analysis of the cyclin-dependent kinase gene family in peanut. BMC Plant Biology, Jan 2023. URL: https://doi.org/10.1186/s12870-023-04045-w, doi:10.1186/s12870-023-04045-w. This article has 10 citations and is from a peer-reviewed journal.</w:t>
      </w:r>
    </w:p>
    <w:p>
      <w:pPr>
        <w:numPr>
          <w:ilvl w:val="0"/>
          <w:numId w:val="1002"/>
        </w:numPr>
      </w:pPr>
      <w:r>
        <w:t xml:space="preserve">(somarelli2020aprecisionmedicine pages 12-14): Jason A. Somarelli, Roham Salman Roghani, Ali Sanjari Moghaddam, Beatrice C. Thomas, Gabrielle Rupprecht, Kathryn E. Ware, Erdem Altunel, John B. Mantyh, So Young Kim, Shannon J. McCall, Xiling Shen, Christopher R. Mantyh, and David S. Hsu. A precision medicine drug discovery pipeline identifies combined cdk2 and 9 inhibition as a novel therapeutic strategy in colorectal cancer. Molecular Cancer Therapeutics, 19:2516-2527, Dec 2020. URL: https://doi.org/10.1158/1535-7163.mct-20-0454, doi:10.1158/1535-7163.mct-20-0454. This article has 26 citations and is from a peer-reviewed journal.</w:t>
      </w:r>
    </w:p>
    <w:p>
      <w:pPr>
        <w:numPr>
          <w:ilvl w:val="0"/>
          <w:numId w:val="1002"/>
        </w:numPr>
      </w:pPr>
      <w:r>
        <w:t xml:space="preserve">(somarelli2020aprecisionmedicine pages 19-20): Jason A. Somarelli, Roham Salman Roghani, Ali Sanjari Moghaddam, Beatrice C. Thomas, Gabrielle Rupprecht, Kathryn E. Ware, Erdem Altunel, John B. Mantyh, So Young Kim, Shannon J. McCall, Xiling Shen, Christopher R. Mantyh, and David S. Hsu. A precision medicine drug discovery pipeline identifies combined cdk2 and 9 inhibition as a novel therapeutic strategy in colorectal cancer. Molecular Cancer Therapeutics, 19:2516-2527, Dec 2020. URL: https://doi.org/10.1158/1535-7163.mct-20-0454, doi:10.1158/1535-7163.mct-20-0454. This article has 26 citations and is from a peer-reviewed journal.</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10-11):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15-17):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17-18):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20-21):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22-23):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3-4):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6-7):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(zhang2024cdk2andcdk4 pages 13-14):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(zhang2024cdk2andcdk4 pages 3-4): Wengang Zhang, Yonglan Liu, Hyunbum Jang, and Ruth Nussinov. Cdk2 and cdk4: cell cycle functions evolve distinct, catalysis-competent conformations, offering drug targets. JACS Au, 4:1911-1927, May 2024. URL: https://doi.org/10.1021/jacsau.4c00138, doi:10.1021/jacsau.4c00138. This article has 13 citations and is from a peer-reviewed journal.</w:t>
      </w:r>
    </w:p>
    <w:p>
      <w:pPr>
        <w:numPr>
          <w:ilvl w:val="0"/>
          <w:numId w:val="1002"/>
        </w:numPr>
      </w:pPr>
      <w:r>
        <w:t xml:space="preserve">(łukasik2021cyclindependentkinases(cdk) pages 1-2):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12-14):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(łukasik2021cyclindependentkinases(cdk) pages 2-4):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p>
      <w:pPr>
        <w:numPr>
          <w:ilvl w:val="0"/>
          <w:numId w:val="1002"/>
        </w:numPr>
      </w:pPr>
      <w:r>
        <w:t xml:space="preserve">(wood2018structuralinsightsinto pages 19-20):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8-9):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(wood2019differencesinthe pages 13-14): Daniel J. Wood, Svitlana Korolchuk, Natalie J. Tatum, Lan-Zhen Wang, Jane A. Endicott, Martin E.M. Noble, and Mathew P. Martin. Differences in the conformational energy landscape of cdk1 and cdk2 suggest a mechanism for achieving selective cdk inhibition. Cell Chemical Biology, 26:121-130.e5, Jan 2019. URL: https://doi.org/10.1016/j.chembiol.2018.10.015, doi:10.1016/j.chembiol.2018.10.015. This article has 130 citations and is from a domain leading peer-reviewed journal.</w:t>
      </w:r>
    </w:p>
    <w:p>
      <w:pPr>
        <w:numPr>
          <w:ilvl w:val="0"/>
          <w:numId w:val="1002"/>
        </w:numPr>
      </w:pPr>
      <w:r>
        <w:t xml:space="preserve">(majumdar2021allosterygovernscdk2 pages 15-17): A. Majumdar, David Burban, Joseph M. Muretta, Andrew R. Thompson, Tiffany A. Engel, D. Rasmussen, M. V. Subrahmanian, G. Veglia, David D. Thomas, and N. Levinson. Allostery governs cdk2 activation and differential recognition of cdk inhibitors. Nature chemical biology, 17:456-464, Dec 2021. URL: https://doi.org/10.1038/s41589-020-00725-y, doi:10.1038/s41589-020-00725-y. This article has 29 citations and is from a highest quality peer-reviewed journal.</w:t>
      </w:r>
    </w:p>
    <w:p>
      <w:pPr>
        <w:numPr>
          <w:ilvl w:val="0"/>
          <w:numId w:val="1002"/>
        </w:numPr>
      </w:pPr>
      <w:r>
        <w:t xml:space="preserve">(poulainUnknownyearinvestigatingp21mediateddynamic pages 23-27): L POULAIN. Investigating p21-mediated dynamic regulation of cdk1 and cyclin b1. Unknown journal, Unknown year.</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