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CDK20 is a member of the cyclin‐dependent kinase (CDK) family that is evolutionarily conserved across broad eukaryotic lineages. In phylogenetic analyses, CDK20, also known as CCRK, is grouped with the transcriptional CDKs rather than the classic cell‐cycle CDKs. Its orthologs have been identified in basal metazoans, choanoflagellates, and other early‐branching opisthokonts, indicating that the kinase emerged in the last common ancestor of animals and fungi (cao2014phylogeneticanalysisof pages 3-6). Despite its widespread conservation across metazoans, certain lineages such as some fungi (for example, Saccharomyces cerevisiae and Schizosaccharomyces pombe) appear to have lost the ortholog of CDK20, underscoring its ancient origin and suggesting that its function was subsequently taken over by alternative regulatory pathways in these taxa (cao2014phylogeneticanalysisof pages 3-6). In the human kinome, CDK20 falls into the atypical or transcription-related subset of CDKs with further subdivision into groups that regulate transcription and gene expression rather than oscillatory cell-cycle progression. This classification is supported by kinase family studies that segregate CDKs into eight subfamilies, with CDK20/CCRK clustering alongside kinases such as CDK7, CDK8, CDK9, and CDK11 (malumbres2014cyclindependentkinases pages 1-2, lehtishiu2012diversityclassificationand pages 9-10). Additionally, evidence from studies discussing CDK family evolution consistently indicates that CDK20 shares significant sequence conservation in its kinase domain with other CDKs, including conservation of critical residues in the ATP-binding pocket and activation loop—a hallmark of the eukaryotic protein kinase superfamily that can be traced back to early eukaryotic evolution (shah2020cdksfamilya pages 4-5).</w:t>
      </w:r>
    </w:p>
    <w:p>
      <w:pPr>
        <w:numPr>
          <w:ilvl w:val="0"/>
          <w:numId w:val="1001"/>
        </w:numPr>
      </w:pPr>
      <w:r>
        <w:t xml:space="preserve">Reaction Catalyzed – As a serine/threonine kinase, CDK20 catalyzes the phosphorylation reaction in which the γ-phosphate monoester from ATP is transferred to the hydroxyl group of a serine or threonine residue on target substrate proteins. In the case of its key substrate, CDK20 phosphorylates CDK2 at the threonine-160 residue present on its activation loop (T-loop), an event critically required for the full enzymatic activation of CDK2 and, by extension, the progression of the cell cycle (lai2020theroleof pages 5-7, tadesse2018cyclindependentkinase2 pages 8-12, cheng2006theroleof pages 1-2). In chemical notation, this reaction can be summarized as: ATP + [protein substrate]-(L-serine or L-threonine) → ADP + [protein substrate]-(L-serine/threonine)-phosphate + H⁺, which is characteristic of the reactions catalyzed by members of the CDK family (cheng2006theroleof pages 1-2).</w:t>
      </w:r>
    </w:p>
    <w:p>
      <w:pPr>
        <w:numPr>
          <w:ilvl w:val="0"/>
          <w:numId w:val="1001"/>
        </w:numPr>
      </w:pPr>
      <w:r>
        <w:t xml:space="preserve">Cofactor Requirements – The catalytic activity of CDK20 requires the presence of divalent cations, most notably magnesium ions (Mg²⁺), which function as essential cofactors by facilitating proper ATP binding and positioning in the kinase active site. This requirement for Mg²⁺ is consistent with the general mechanism observed in serine/threonine kinases, where magnesium stabilizes the negative charges of the ATP phosphates during the phosphoryl transfer reaction (cheng2006theroleof pages 6-6, malumbres2014cyclindependentkinases pages 2-3).</w:t>
      </w:r>
    </w:p>
    <w:p>
      <w:pPr>
        <w:numPr>
          <w:ilvl w:val="0"/>
          <w:numId w:val="1001"/>
        </w:numPr>
      </w:pPr>
      <w:r>
        <w:t xml:space="preserve">Substrate Specificity – CDK20 exhibits substrate specificity that is consistent with that of classical CDKs. It preferentially phosphorylates serine/threonine residues that are positioned within a sequence context reminiscent of the CDK consensus motif. In particular, one well-documented substrate is CDK2, where CDK20 phosphorylates the threonine residue at position 160 located within its T-loop. This phosphorylation event is key to the activation of CDK2, and the local substrate context typically involves residues that facilitate proper recognition by the CDK catalytic domain, including a proline immediately following the phosphorylated residue—a feature common among many CDK substrates (chens2006theroleof pages 1-2, johnson2023anatlasof pages 21-23). Although the precise consensus sequence for CDK20 has not been as extensively characterized as for S6K or other CDKs detailed in kinase substrate atlases, the available data suggest that CDK20 follows the canonical CDK pattern involving recognition of a serine/threonine residue that is frequently flanked by proline and possibly additional basic residues that enhance binding affinity (johnson2023anatlasof pages 21-23).</w:t>
      </w:r>
    </w:p>
    <w:p>
      <w:pPr>
        <w:numPr>
          <w:ilvl w:val="0"/>
          <w:numId w:val="1001"/>
        </w:numPr>
      </w:pPr>
      <w:r>
        <w:t xml:space="preserve">Structure – CDK20 possesses a conserved bilobal kinase domain typical of the CDK family. Its structure consists of an N-terminal lobe that primarily contains β-sheets, including a conserved glycine-rich loop that is involved in the proper coordination and binding of ATP, and a larger C-terminal lobe that is predominantly α-helical and contains the activation segment (or T-loop) critical for substrate recognition and catalysis (wood2018structuralinsightsinto pages 3-4, ng2011glioblastomamultiformerole pages 2-4). Within the catalytic core, several key structural features are evident: an ATP-binding site formed by a hinge region between the lobes, a catalytic loop that includes conserved residues such as a Lysine that interacts with the phosphate groups of ATP, and an activation segment that must be correctly positioned—often through phosphorylation—to permit efficient substrate binding (shah2020cdksfamilya pages 4-5). Although no high-resolution crystal structure for CDK20/CCRK has been published to date, comparative modeling and sequence alignment with other well-defined CDKs (such as CDK2) suggest that it conforms to the canonical kinase fold. Furthermore, prediction models (for example, those generated by AlphaFold, as mentioned in discussions of ciliary kinases) support the notion that CDK20 exhibits the classical bilobal organization with a distinct catalytic cleft configured to accommodate both ATP and substrate peptides, thus ensuring the fidelity of its phosphoryl transfer reaction (ng2011glioblastomamultiformerole pages 2-4, flax2024illuminationofunderstudied pages 4-6).</w:t>
      </w:r>
    </w:p>
    <w:p>
      <w:pPr>
        <w:numPr>
          <w:ilvl w:val="0"/>
          <w:numId w:val="1001"/>
        </w:numPr>
      </w:pPr>
      <w:r>
        <w:t xml:space="preserve">Regulation – Regulation of CDK20 occurs at multiple levels, including transcriptional, post-transcriptional, and post-translational mechanisms. Alternative splicing of the CDK20 gene leads to the production of several isoforms with distinct tissue distributions and functional properties. In mammalian systems, at least seven transcription variants have been reported. The generic isoform, which is ubiquitously expressed, plays a critical role as a cell cycle regulator by phosphorylating CDK2 at Thr-160 and thereby promoting cell proliferation. In contrast, a smaller variant predominantly expressed in cardiac tissue does not activate CDK2 but instead is involved in pro-survival signaling pathways, for instance by modulating ERK signaling (lai2020theroleof pages 5-7). In addition to these isoform-specific effects, CDK20 is also subject to regulation by upstream transcription factors. In hepatocellular carcinoma cells, for example, the androgen receptor (AR) directly binds to an androgen-responsive element in the CDK20 promoter region, leading to increased transcription and expression of CDK20. This transcriptional regulation by AR has been linked to the activation of downstream oncogenic pathways via phosphorylation of substrates such as EZH2 (pellarin2025cyclindependentproteinkinases pages 14-15). CDK20’s activation itself relies on formation of complexes with cyclin partners—though the precise cyclin partner for CDK20 remains less well defined compared to other CDKs—and on phosphorylation events that may enhance its catalytic conformation. Notably, while CDK20 has been reported to function as a CDK-activating kinase (CAK) for CDK2, some studies have indicated that it lacks intrinsic CAK activity in certain cellular contexts, implying that its activation may be regulated by additional co-factors or by protein–protein interactions that help stabilize its active conformation (lehtishiu2012diversityclassificationand pages 9-10, shah2020cdksfamilya pages 4-5).</w:t>
      </w:r>
    </w:p>
    <w:p>
      <w:pPr>
        <w:numPr>
          <w:ilvl w:val="0"/>
          <w:numId w:val="1001"/>
        </w:numPr>
      </w:pPr>
      <w:r>
        <w:t xml:space="preserve">Function – CDK20 plays multiple roles in both developmental and proliferative contexts. One of its key functions is to ensure high-level Sonic Hedgehog (Shh) responses in the developing neural tube. Through coordinated actions with TBC1D32, CDK20 contributes to the proper assembly of the primary cilium by controlling the organization of both the ciliary membrane and the axoneme, a function critical for the accurate activation of GLI2 transcription factors in response to Shh signaling. This role in ciliogenesis is particularly important because the primary cilium functions as a signaling hub, and defects in ciliary assembly are closely associated with developmental disorders and ciliopathies (information provided in the protein information section). In parallel, CDK20 is involved in the regulation of cell growth. By phosphorylating CDK2 at Thr-160, CDK20 activates CDK2, thereby enabling progression through key checkpoints of the cell cycle. This activation of CDK2 is critical for the G1/S phase transition and contributes to the promotion of cellular proliferation. These dual roles in both ciliary function and cell cycle regulation underscore the importance of CDK20 in a wide range of biological processes—from neural development to oncogenesis—and highlight its potential as a target in cancer where aberrant cell proliferation and ciliary dysfunction may coexist (lai2020theroleof pages 5-7, ng2011glioblastomamultiformerole pages 2-4, oskomic2025keap1nrf2interactionin pages 14-15).</w:t>
      </w:r>
    </w:p>
    <w:p>
      <w:pPr>
        <w:numPr>
          <w:ilvl w:val="0"/>
          <w:numId w:val="1001"/>
        </w:numPr>
      </w:pPr>
      <w:r>
        <w:t xml:space="preserve">Other Comments – Although specific inhibitors for CDK20/CCRK have not been described with the same level of detail as other kinases, functional studies have implicated CDK20 in various oncogenic processes, including glioblastoma and hepatocellular carcinoma. In these contexts, overexpression of CDK20 correlates with increased cell cycle progression, tumor growth, and resistance to radiotherapy and chemotherapy mediated via activation of downstream effectors such as β-catenin and EZH2. In addition, the evolving data on isoform-specific functions—particularly the divergence between the generic, proliferation‐promoting isoform and the cardiac variant involved in cell survival—underscore the complexity of its biological regulation. The emerging structural models, including those derived from AlphaFold predictions and comparative modeling, are expected to expedite drug discovery efforts targeting CDK20, although highly potent and selective inhibitors remain to be developed. Disease associations extend beyond cancer; given its role in primary cilium assembly, mutations or dysregulation of CDK20 may also be linked to ciliopathies or developmental defects in the neural tube. Notably, the kinase is required for high-level Shh signaling—a pathway critical for neural development—thus implicating CDK20 in congenital conditions associated with impaired ciliary signaling (oskomic2025keap1nrf2interactionin pages 14-15, flax2024illuminationofunderstudied pages 4-6).</w:t>
      </w:r>
    </w:p>
    <w:p>
      <w:pPr>
        <w:numPr>
          <w:ilvl w:val="0"/>
          <w:numId w:val="1001"/>
        </w:numPr>
      </w:pPr>
      <w:r>
        <w:t xml:space="preserve">References</w:t>
      </w:r>
      <w:r>
        <w:br/>
      </w:r>
    </w:p>
    <w:p>
      <w:pPr>
        <w:numPr>
          <w:ilvl w:val="0"/>
          <w:numId w:val="1001"/>
        </w:numPr>
      </w:pPr>
      <w:r>
        <w:t xml:space="preserve">cao2014phylogeneticanalysisof pages 3-6</w:t>
      </w:r>
      <w:r>
        <w:br/>
      </w:r>
    </w:p>
    <w:p>
      <w:pPr>
        <w:numPr>
          <w:ilvl w:val="0"/>
          <w:numId w:val="1001"/>
        </w:numPr>
      </w:pPr>
      <w:r>
        <w:t xml:space="preserve">lai2020theroleof pages 5-7</w:t>
      </w:r>
      <w:r>
        <w:br/>
      </w:r>
    </w:p>
    <w:p>
      <w:pPr>
        <w:numPr>
          <w:ilvl w:val="0"/>
          <w:numId w:val="1001"/>
        </w:numPr>
      </w:pPr>
      <w:r>
        <w:t xml:space="preserve">lehtishiu2012diversityclassificationand pages 9-10</w:t>
      </w:r>
      <w:r>
        <w:br/>
      </w:r>
    </w:p>
    <w:p>
      <w:pPr>
        <w:numPr>
          <w:ilvl w:val="0"/>
          <w:numId w:val="1001"/>
        </w:numPr>
      </w:pPr>
      <w:r>
        <w:t xml:space="preserve">ng2011glioblastomamultiformerole pages 2-4</w:t>
      </w:r>
      <w:r>
        <w:br/>
      </w:r>
    </w:p>
    <w:p>
      <w:pPr>
        <w:numPr>
          <w:ilvl w:val="0"/>
          <w:numId w:val="1001"/>
        </w:numPr>
      </w:pPr>
      <w:r>
        <w:t xml:space="preserve">oskomic2025keap1nrf2interactionin pages 14-15</w:t>
      </w:r>
      <w:r>
        <w:br/>
      </w:r>
    </w:p>
    <w:p>
      <w:pPr>
        <w:numPr>
          <w:ilvl w:val="0"/>
          <w:numId w:val="1001"/>
        </w:numPr>
      </w:pPr>
      <w:r>
        <w:t xml:space="preserve">pellarin2025cyclindependentproteinkinases pages 24-25</w:t>
      </w:r>
      <w:r>
        <w:br/>
      </w:r>
    </w:p>
    <w:p>
      <w:pPr>
        <w:numPr>
          <w:ilvl w:val="0"/>
          <w:numId w:val="1001"/>
        </w:numPr>
      </w:pPr>
      <w:r>
        <w:t xml:space="preserve">shah2020cdksfamilya pages 4-5</w:t>
      </w:r>
      <w:r>
        <w:br/>
      </w:r>
    </w:p>
    <w:p>
      <w:pPr>
        <w:numPr>
          <w:ilvl w:val="0"/>
          <w:numId w:val="1001"/>
        </w:numPr>
      </w:pPr>
      <w:r>
        <w:t xml:space="preserve">tadesse2018cyclindependentkinase2 pages 8-12</w:t>
      </w:r>
      <w:r>
        <w:br/>
      </w:r>
    </w:p>
    <w:p>
      <w:pPr>
        <w:numPr>
          <w:ilvl w:val="0"/>
          <w:numId w:val="1001"/>
        </w:numPr>
      </w:pPr>
      <w:r>
        <w:t xml:space="preserve">cheng2006theroleof pages 1-2</w:t>
      </w:r>
      <w:r>
        <w:br/>
      </w:r>
    </w:p>
    <w:p>
      <w:pPr>
        <w:numPr>
          <w:ilvl w:val="0"/>
          <w:numId w:val="1001"/>
        </w:numPr>
      </w:pPr>
      <w:r>
        <w:t xml:space="preserve">wood2018structuralinsightsinto pages 3-4</w:t>
      </w:r>
      <w:r>
        <w:br/>
      </w:r>
    </w:p>
    <w:p>
      <w:pPr>
        <w:numPr>
          <w:ilvl w:val="0"/>
          <w:numId w:val="1001"/>
        </w:numPr>
      </w:pPr>
      <w:r>
        <w:t xml:space="preserve">malumbres2014cyclindependentkinases pages 1-2</w:t>
      </w:r>
    </w:p>
    <w:p>
      <w:pPr>
        <w:pStyle w:val="FirstParagraph"/>
      </w:pPr>
      <w:r>
        <w:t xml:space="preserve">References</w:t>
      </w:r>
    </w:p>
    <w:p>
      <w:pPr>
        <w:numPr>
          <w:ilvl w:val="0"/>
          <w:numId w:val="1002"/>
        </w:numPr>
      </w:pPr>
      <w:r>
        <w:t xml:space="preserve">(cao2014phylogeneticanalysisof pages 3-6):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2"/>
        </w:numPr>
      </w:pPr>
      <w:r>
        <w:t xml:space="preserve">(lai2020theroleof pages 5-7): Lo Lai, Ga Yoon Shin, and Hongyu Qiu. The role of cell cycle regulators in cell survival—dual functions of cyclin-dependent kinase 20 and p21cip1/waf1. International Journal of Molecular Sciences, 21:8504, Nov 2020. URL: https://doi.org/10.3390/ijms21228504, doi:10.3390/ijms21228504. This article has 54 citations and is from a peer-reviewed journal.</w:t>
      </w:r>
    </w:p>
    <w:p>
      <w:pPr>
        <w:numPr>
          <w:ilvl w:val="0"/>
          <w:numId w:val="1002"/>
        </w:numPr>
      </w:pPr>
      <w:r>
        <w:t xml:space="preserve">(lehtishiu2012diversityclassificationand pages 9-10): Melissa D. Lehti-Shiu and Shin-Han Shiu. Diversity, classification and function of the plant protein kinase superfamily. Philosophical Transactions of the Royal Society B: Biological Sciences, 367:2619-2639, Sep 2012. URL: https://doi.org/10.1098/rstb.2012.0003, doi:10.1098/rstb.2012.0003. This article has 368 citations and is from a domain leading peer-reviewed journal.</w:t>
      </w:r>
    </w:p>
    <w:p>
      <w:pPr>
        <w:numPr>
          <w:ilvl w:val="0"/>
          <w:numId w:val="1002"/>
        </w:numPr>
      </w:pPr>
      <w:r>
        <w:t xml:space="preserve">(ng2011glioblastomamultiformerole pages 2-4): Samuel S. Ng, Ying Li, William K.C. Cheung, Hsiang-Fu Kung, and Marie C. Lin. Glioblastoma multiforme: role of cell cycle-related kinase protein (method). Tumors of the Central Nervous System, Volume 1, pages 167-171, Jan 2011. URL: https://doi.org/10.1007/978-94-007-0344-5_18, doi:10.1007/978-94-007-0344-5_18. This article has 0 citations.</w:t>
      </w:r>
    </w:p>
    <w:p>
      <w:pPr>
        <w:numPr>
          <w:ilvl w:val="0"/>
          <w:numId w:val="1002"/>
        </w:numPr>
      </w:pPr>
      <w:r>
        <w:t xml:space="preserve">(oskomic2025keap1nrf2interactionin pages 14-15): Marina Oskomić, Antonija Tomić, Lea Barbarić, Antonia Matić, Domagoj Christian Kindl, and Mihaela Matovina. Keap1-nrf2 interaction in cancer: competitive interactors and their role in carcinogenesis. Cancers, 17:447, Jan 2025. URL: https://doi.org/10.3390/cancers17030447, doi:10.3390/cancers17030447. This article has 0 citations and is from a peer-reviewed journal.</w:t>
      </w:r>
    </w:p>
    <w:p>
      <w:pPr>
        <w:numPr>
          <w:ilvl w:val="0"/>
          <w:numId w:val="1002"/>
        </w:numPr>
      </w:pPr>
      <w:r>
        <w:t xml:space="preserve">(pellarin2025cyclindependentproteinkinases pages 24-25):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(tadesse2018cyclindependentkinase2 pages 8-12): Solomon Tadesse, Elizabeth C. Caldon, Wayne Tilley, and Shudong Wang. Cyclin-dependent kinase 2 inhibitors in cancer therapy: an update. Journal of Medicinal Chemistry, 62:4233-4251, Dec 2018. URL: https://doi.org/10.1021/acs.jmedchem.8b01469, doi:10.1021/acs.jmedchem.8b01469. This article has 248 citations and is from a highest quality peer-reviewed journal.</w:t>
      </w:r>
    </w:p>
    <w:p>
      <w:pPr>
        <w:numPr>
          <w:ilvl w:val="0"/>
          <w:numId w:val="1002"/>
        </w:numPr>
      </w:pPr>
      <w:r>
        <w:t xml:space="preserve">(cheng2006theroleof pages 1-2): Kin-Yip Cheng, Martin E.M. Noble, Vicky Skamnaki, Nick R. Brown, Ed D. Lowe, Luke Kontogiannis, Kui Shen, Philip A. Cole, Giuliano Siligardi, and Louise N. Johnson. The role of the phospho-cdk2/cyclin a recruitment site in substrate recognition. Journal of Biological Chemistry, 281:23167-23179, Aug 2006. URL: https://doi.org/10.1074/jbc.m600480200, doi:10.1074/jbc.m600480200. This article has 118 citations and is from a domain leading peer-reviewed journal.</w:t>
      </w:r>
    </w:p>
    <w:p>
      <w:pPr>
        <w:numPr>
          <w:ilvl w:val="0"/>
          <w:numId w:val="1002"/>
        </w:numPr>
      </w:pPr>
      <w:r>
        <w:t xml:space="preserve">(cheng2006theroleof pages 6-6): Kin-Yip Cheng, Martin E.M. Noble, Vicky Skamnaki, Nick R. Brown, Ed D. Lowe, Luke Kontogiannis, Kui Shen, Philip A. Cole, Giuliano Siligardi, and Louise N. Johnson. The role of the phospho-cdk2/cyclin a recruitment site in substrate recognition. Journal of Biological Chemistry, 281:23167-23179, Aug 2006. URL: https://doi.org/10.1074/jbc.m600480200, doi:10.1074/jbc.m600480200. This article has 118 citations and is from a domain leading peer-reviewed journal.</w:t>
      </w:r>
    </w:p>
    <w:p>
      <w:pPr>
        <w:numPr>
          <w:ilvl w:val="0"/>
          <w:numId w:val="1002"/>
        </w:numPr>
      </w:pPr>
      <w:r>
        <w:t xml:space="preserve">(flax2024illuminationofunderstudied pages 4-6):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(pellarin2025cyclindependentproteinkinases pages 14-15):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(wood2018structuralinsightsinto pages 3-4):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2025-05-23T18:26:53Z</dcterms:created>
  <dcterms:modified xsi:type="dcterms:W3CDTF">2025-05-23T18:26:53Z</dcterms:modified>
</cp:coreProperties>
</file>

<file path=docProps/custom.xml><?xml version="1.0" encoding="utf-8"?>
<Properties xmlns="http://schemas.openxmlformats.org/officeDocument/2006/custom-properties" xmlns:vt="http://schemas.openxmlformats.org/officeDocument/2006/docPropsVTypes"/>
</file>