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20 (CDK20), also known as CCRK, belongs to the cyclin‐dependent kinase family within the CMGC group of serine/threonine kinases. Members of the CDK family are evolutionarily conserved across eukaryotes, and CDK20 is classified among the atypical CDKs that do not fall in the classical cell‐cycle CDKs such as CDK1 or CDK2. Its sequence conservation in the catalytic domain places it within the subgroup of kinases sharing a common evolutionary origin with other CDKs, as detailed in studies of kinase classification (malumbres2009cyclindependentkinasesa pages 2-4, malumbres2014cyclindependentkinases pages 1-2). Orthologs of CDK20 can be identified in other mammalian species, and its presence among the “dark kinome” reflects its relatively understudied status compared to canonical CDKs. Phylogenetic analyses based on conserved kinase domains indicate that CDK20 clusters with other members of the CMGC group, thereby inheriting the proline‐directed substrate preference typical of this family (johnson2023anatlasof pages 4-5, shah2020cdksfamilya pages 5-7).</w:t>
      </w:r>
    </w:p>
    <w:p>
      <w:pPr>
        <w:numPr>
          <w:ilvl w:val="0"/>
          <w:numId w:val="1001"/>
        </w:numPr>
      </w:pPr>
      <w:r>
        <w:t xml:space="preserve">Reaction Catalyzed</w:t>
      </w:r>
      <w:r>
        <w:br/>
      </w:r>
      <w:r>
        <w:t xml:space="preserve">The catalytic activity of CDK20 follows the canonical reaction characteristic of protein kinases. CDK20 transfers the γ‐phosphate from ATP to the hydroxyl group of serine/threonine residues in substrate proteins. The overall reaction can be summarized as:</w:t>
      </w:r>
      <w:r>
        <w:br/>
      </w:r>
      <w:r>
        <w:t xml:space="preserve">  ATP + [protein]-(L-serine or L-threonine) → ADP + [protein]-(L-serine/threonine)-phosphate + H⁺</w:t>
      </w:r>
      <w:r>
        <w:br/>
      </w:r>
      <w:r>
        <w:t xml:space="preserve">This reaction is fundamental to modulating the function of downstream substrate proteins through phosphorylation (johnson2023anatlasof pages 1-2).</w:t>
      </w:r>
    </w:p>
    <w:p>
      <w:pPr>
        <w:numPr>
          <w:ilvl w:val="0"/>
          <w:numId w:val="1001"/>
        </w:numPr>
      </w:pPr>
      <w:r>
        <w:t xml:space="preserve">Cofactor Requirements</w:t>
      </w:r>
      <w:r>
        <w:br/>
      </w:r>
      <w:r>
        <w:t xml:space="preserve">The kinase activity of CDK20, like that of most serine/threonine kinases, requires a divalent cation cofactor. Specifically, magnesium ions (Mg²⁺) are essential for proper ATP binding and phosphoryl transfer. The presence of Mg²⁺ aligns with the common cofactor requirement observed in the kinome and underlines its biochemical similarity to other members of the CMGC group (johnson2023anatlasof pages 1-2, malumbres2014cyclindependentkinases pages 2-3).</w:t>
      </w:r>
    </w:p>
    <w:p>
      <w:pPr>
        <w:numPr>
          <w:ilvl w:val="0"/>
          <w:numId w:val="1001"/>
        </w:numPr>
      </w:pPr>
      <w:r>
        <w:t xml:space="preserve">Substrate Specificity</w:t>
      </w:r>
      <w:r>
        <w:br/>
      </w:r>
      <w:r>
        <w:t xml:space="preserve">Substrate specificity for CDK20 is inferred from its membership in the CDK family, which as a group typically phosphorylate serine/threonine residues that precede or are immediately followed by a proline residue. In particular, members of the CDK subgroup are known to have a proline-directed consensus motif, generally favoring an S/T-P sequence. Detailed experimental profiling of human serine/threonine kinases by Johnson et al. has revealed that the CDK family exhibits strong enrichment for substrates with a proline at the +1 position relative to the phosphoacceptor site, with additional influences imparted by flanking basic residues that further modulate substrate recognition (johnson2023anatlasof pages 1-2, johnson2023anatlasof pages 6-7). Although explicit motifs unique to CDK20 have not been isolated in the published atlas, its classification within the cyclin-dependent kinase family strongly suggests that its substrate specificity conforms to the characteristic proline-directed motif, with potential nuances governed by its own regulatory and structural features (johnson2023anatlasof pages 3-4, malumbres2009cyclindependentkinasesa pages 2-4).</w:t>
      </w:r>
    </w:p>
    <w:p>
      <w:pPr>
        <w:numPr>
          <w:ilvl w:val="0"/>
          <w:numId w:val="1001"/>
        </w:numPr>
      </w:pPr>
      <w:r>
        <w:t xml:space="preserve">Structure</w:t>
      </w:r>
      <w:r>
        <w:br/>
      </w:r>
      <w:r>
        <w:t xml:space="preserve">CDK20 possesses a central catalytic domain typical of protein kinases that is approximately 250–300 amino acids in length. This domain is organized into two lobes: an N-terminal lobe that is predominantly composed of β-sheets and a C-terminal lobe that is mainly α-helical. Key structural features include a highly conserved ATP-binding cleft, the activation loop (T-loop), a DFG motif required for coordination of magnesium and ATP, and a C-helix that undergoes positioning changes upon cyclin binding. Although no dedicated crystal structure solely for CDK20 may be described in the primary literature provided, structural insights from related CDKs and large-scale kinase structural analyses provide a reliable model for its organization (elokely2013proteinkinasesstructure pages 40-49, wood2018structuralinsightsinto pages 20-20). In addition, AlphaFold models of homologous CDKs suggest that the kinase domain of CDK20 may include additional regulatory sequences that facilitate cyclin interaction and substrate engagement. The conserved features, such as the glycine-rich loop in the N-terminal lobe and the catalytic HRD motif in the catalytic loop, are present in CDK20, reinforcing its ability to catalyze phosphorylation reactions. Furthermore, structural comparison with other CDKs indicates that CDK20 may exhibit unique insertions or extensions outside the kinase domain that could be important for its regulatory function in modulating primary cilium assembly and activation of downstream targets like CDK2 (malumbres2014cyclindependentkinases pages 2-3, karimbayli2024insightsintothe pages 1-2).</w:t>
      </w:r>
    </w:p>
    <w:p>
      <w:pPr>
        <w:numPr>
          <w:ilvl w:val="0"/>
          <w:numId w:val="1001"/>
        </w:numPr>
      </w:pPr>
      <w:r>
        <w:t xml:space="preserve">Regulation</w:t>
      </w:r>
      <w:r>
        <w:br/>
      </w:r>
      <w:r>
        <w:t xml:space="preserve">Regulation of CDK20 activity appears to follow general principles common to cyclin-dependent kinases. CDK20 is activated through binding of a regulatory cyclin partner, and this association induces conformational changes that reposition its C-helix and stabilize the activation loop, thereby facilitating optimal substrate binding. An established function of CDK20 is the activation of CDK2 by phosphorylating its Thr-160 residue, which is a critical post-translational modification required for full CDK2 activation (oskomic2025keap1nrf2interactionin pages 14-15). In addition, regulatory phosphorylation events at key residues within CDK20’s activation loop likely occur, although specific modification sites beyond its catalytic targets remain to be fully characterized. Control by cyclins, such as cyclin H or cyclin Y – as is the case for closely related CDKs – may also contribute to its spatial and temporal regulation in the cell. Overall, CDK20 regulation involves both conformational modulation upon cyclin binding and phosphorylation events that facilitate its kinase activity toward specific substrates (shah2020cdksfamilya pages 5-7, malumbres2014cyclindependentkinases pages 9-10).</w:t>
      </w:r>
    </w:p>
    <w:p>
      <w:pPr>
        <w:numPr>
          <w:ilvl w:val="0"/>
          <w:numId w:val="1001"/>
        </w:numPr>
      </w:pPr>
      <w:r>
        <w:t xml:space="preserve">Function</w:t>
      </w:r>
      <w:r>
        <w:br/>
      </w:r>
      <w:r>
        <w:t xml:space="preserve">CDK20 performs multiple roles critical to both developmental signaling and cell cycle regulation. One of its most notable functions is its requirement for high-level Sonic Hedgehog (Shh) responses during neural tube development. By coordinating with the protein TBC1D32, CDK20 plays a central role in controlling the structure of the primary cilium – a specialized cellular organelle essential for proper Shh signal transduction and subsequent activation of GLI2 transcription factors. Additionally, CDK20 is implicated in cell growth control through its activation of CDK2, a key regulator of cell cycle progression. Phosphorylation of CDK2 at Thr-160 by CDK20 is critical for advancing the cell cycle, linking CDK20’s kinase activity to the regulation of cell proliferation (johnson2023anatlasof pages 1-2, chowdhury2023cmgckinasesin pages 21-22). Expression data indicate that CDK20 is active in tissues where precise regulation of cell division and signal transduction is required, notably in developing neural tissue. Its dual roles in modulating primary cilium assembly and cell cycle control suggest that it is an integral component of signaling pathways that coordinate developmental processes with proliferative capacity (hope2023emergingapproachesto pages 1-2, malumbres2014cyclindependentkinases pages 9-10).</w:t>
      </w:r>
    </w:p>
    <w:p>
      <w:pPr>
        <w:numPr>
          <w:ilvl w:val="0"/>
          <w:numId w:val="1001"/>
        </w:numPr>
      </w:pPr>
      <w:r>
        <w:t xml:space="preserve">Other Comments</w:t>
      </w:r>
      <w:r>
        <w:br/>
      </w:r>
      <w:r>
        <w:t xml:space="preserve">CDK20 is also known by several alternative names, including CDK-activating kinase p42, Cell cycle-related kinase, Cell division protein kinase 20, Cyclin-dependent protein kinase H, and Cyclin-kinase-activating kinase p42. These synonyms reflect its diverse identification in different studies and its multifaceted roles in cell regulation. Although specific inhibitors targeting CDK20 have not yet been extensively characterized, its central role in primary cilium maintenance and CDK2 activation earmarks it as a potential therapeutic target, especially in contexts where aberrant Shh signaling or dysregulated cell division contributes to disease. Its overexpression or mutation might be linked with developmental abnormalities or cancer, although detailed disease associations and the impact of mutations on its function remain subjects for ongoing investigation. The integration of large-scale substrate specificity data, detailed phylogenetic analysis, and structural modeling is expected to further refine our understanding of CDK20 and facilitate the development of selective small-molecule inhibitors (pellarin2025cyclindependentproteinkinases pages 56-56, pluta2024cyclin‐dependentkinasesmasters pages 28-29).</w:t>
      </w:r>
    </w:p>
    <w:p>
      <w:pPr>
        <w:numPr>
          <w:ilvl w:val="0"/>
          <w:numId w:val="1001"/>
        </w:numPr>
      </w:pPr>
      <w:r>
        <w:t xml:space="preserve">References</w:t>
      </w:r>
      <w:r>
        <w:br/>
      </w:r>
      <w:r>
        <w:t xml:space="preserve">johnson2023anatlasof pages 1-2; johnson2023anatlasof pages 2-3; johnson2023anatlasof pages 3-4; johnson2023anatlasof pages 4-4; johnson2023anatlasof pages 6-7;</w:t>
      </w:r>
      <w:r>
        <w:br/>
      </w:r>
      <w:r>
        <w:t xml:space="preserve">chowdhury2023cmgckinasesin pages 21-22;</w:t>
      </w:r>
      <w:r>
        <w:br/>
      </w:r>
      <w:r>
        <w:t xml:space="preserve">elokely2013proteinkinasesstructure pages 40-49;</w:t>
      </w:r>
      <w:r>
        <w:br/>
      </w:r>
      <w:r>
        <w:t xml:space="preserve">hope2023emergingapproachesto pages 1-2;</w:t>
      </w:r>
      <w:r>
        <w:br/>
      </w:r>
      <w:r>
        <w:t xml:space="preserve">malumbres2009cyclindependentkinasesa pages 2-4; malumbres2009cyclindependentkinasesa pages 1-2;</w:t>
      </w:r>
      <w:r>
        <w:br/>
      </w:r>
      <w:r>
        <w:t xml:space="preserve">malumbres2014cyclindependentkinases pages 1-2; malumbres2014cyclindependentkinases pages 2-3; malumbres2014cyclindependentkinases pages 9-10;</w:t>
      </w:r>
      <w:r>
        <w:br/>
      </w:r>
      <w:r>
        <w:t xml:space="preserve">oskomic2025keap1nrf2interactionin pages 14-15;</w:t>
      </w:r>
      <w:r>
        <w:br/>
      </w:r>
      <w:r>
        <w:t xml:space="preserve">pellarin2025cyclindependentproteinkinases pages 24-25; pellarin2025cyclindependentproteinkinases pages 52-53; pellarin2025cyclindependentproteinkinases pages 56-56;</w:t>
      </w:r>
      <w:r>
        <w:br/>
      </w:r>
      <w:r>
        <w:t xml:space="preserve">pluta2024cyclin‐dependentkinasesmasters pages 28-29;</w:t>
      </w:r>
      <w:r>
        <w:br/>
      </w:r>
      <w:r>
        <w:t xml:space="preserve">shah2020cdksfamilya pages 5-7; shah2020cdksfamilya pages 4-5;</w:t>
      </w:r>
      <w:r>
        <w:br/>
      </w:r>
      <w:r>
        <w:t xml:space="preserve">wood2018structuralinsightsinto pages 20-20;</w:t>
      </w:r>
      <w:r>
        <w:br/>
      </w:r>
      <w:r>
        <w:t xml:space="preserve">alonso2021caracterizacióndecdk1418 pages 29-32; alonso2021caracterizacióndecdk1418 pages 16-26;</w:t>
      </w:r>
      <w:r>
        <w:br/>
      </w:r>
      <w:r>
        <w:t xml:space="preserve">champion2004arabidopsiskinomeafter pages 2-4;</w:t>
      </w:r>
      <w:r>
        <w:br/>
      </w:r>
      <w:r>
        <w:t xml:space="preserve">karimbayli2024insightsintothe pages 1-2; karimbayli2024insightsintothe pages 15-17; karimbayli2024insightsintothe pages 17-17;</w:t>
      </w:r>
      <w:r>
        <w:br/>
      </w:r>
      <w:r>
        <w:t xml:space="preserve">klenor2021rationaldesignof pages 34-36; klenor2021rationaldesignof pages 13-16;</w:t>
      </w:r>
      <w:r>
        <w:br/>
      </w:r>
      <w:r>
        <w:t xml:space="preserve">sugiyama2019largescalediscoveryof pages 3-4;</w:t>
      </w:r>
      <w:r>
        <w:br/>
      </w:r>
      <w:r>
        <w:t xml:space="preserve">ettl2022therenaissanceof pages 2-4;</w:t>
      </w:r>
      <w:r>
        <w:br/>
      </w:r>
      <w:r>
        <w:t xml:space="preserve">gopinathan2011establishedandnovel pages 8-10;</w:t>
      </w:r>
      <w:r>
        <w:br/>
      </w:r>
      <w:r>
        <w:t xml:space="preserve">janackova2023mechanismusregulacecyklindependentní pages 20-24;</w:t>
      </w:r>
      <w:r>
        <w:br/>
      </w:r>
      <w:r>
        <w:t xml:space="preserve">kamkar2015pftaire1(cyclindependent pages 29-34;</w:t>
      </w:r>
      <w:r>
        <w:br/>
      </w:r>
      <w:r>
        <w:t xml:space="preserve">peyressatre2015targetingcyclindependentkinases pages 4-6;</w:t>
      </w:r>
      <w:r>
        <w:br/>
      </w:r>
      <w:r>
        <w:t xml:space="preserve">malumbres2014cyclindependentkinases pages 5-6.</w:t>
      </w:r>
    </w:p>
    <w:p>
      <w:pPr>
        <w:pStyle w:val="FirstParagraph"/>
      </w:pPr>
      <w:r>
        <w:t xml:space="preserve">References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(elokely2013proteinkinasesstructure pages 40-49): KM Elokely. Protein kinases: structure modeling, inhibition, and protein-protein interactions. Unknown journal, 2013.</w:t>
      </w:r>
    </w:p>
    <w:p>
      <w:pPr>
        <w:numPr>
          <w:ilvl w:val="0"/>
          <w:numId w:val="1002"/>
        </w:numPr>
      </w:pPr>
      <w:r>
        <w:t xml:space="preserve">(hope2023emergingapproachesto pages 1-2): Ian Hope, Jane A. Endicott, and Jessica E. Watt. Emerging approaches to cdk inhibitor development, a structural perspective. RSC Chemical Biology, 4:146-164, Jan 2023. URL: https://doi.org/10.1039/d2cb00201a, doi:10.1039/d2cb00201a. This article has 8 citations.</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(malumbres2009cyclindependentkinasesa pages 2-4):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582 citations and is from a highest quality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9-10):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(oskomic2025keap1nrf2interactionin pages 14-15): Marina Oskomić, Antonija Tomić, Lea Barbarić, Antonia Matić, Domagoj Christian Kindl, and Mihaela Matovina. Keap1-nrf2 interaction in cancer: competitive interactors and their role in carcinogenesis. Cancers, 17:447, Jan 2025. URL: https://doi.org/10.3390/cancers17030447, doi:10.3390/cancers17030447. This article has 0 citations and is from a peer-reviewed journal.</w:t>
      </w:r>
    </w:p>
    <w:p>
      <w:pPr>
        <w:numPr>
          <w:ilvl w:val="0"/>
          <w:numId w:val="1002"/>
        </w:numPr>
      </w:pPr>
      <w:r>
        <w:t xml:space="preserve">(pellarin2025cyclindependentproteinkinases pages 24-25):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52-53):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56-56):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(pluta2024cyclin‐dependentkinasesmasters pages 28-29):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(shah2020cdksfamilya pages 5-7):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(champion2004arabidopsiskinomeafter pages 2-4): A. Champion, M. Kreis, K. Mockaitis, K. Mockaitis, A. Picaud, and Y. Henry. Arabidopsis kinome: after the casting. Functional &amp; Integrative Genomics, 4:163-187, Jan 2004. URL: https://doi.org/10.1007/s10142-003-0096-4, doi:10.1007/s10142-003-0096-4. This article has 158 citations.</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(klenor2021rationaldesignof pages 34-36): M Klenor. Rational design of cyclin-dependent kinase inhibitors. Unknown journal, 2021.</w:t>
      </w:r>
    </w:p>
    <w:p>
      <w:pPr>
        <w:numPr>
          <w:ilvl w:val="0"/>
          <w:numId w:val="1002"/>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582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(sugiyama2019largescalediscoveryof pages 3-4):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2"/>
        </w:numPr>
      </w:pPr>
      <w:r>
        <w:t xml:space="preserve">(alonso2021caracterizacióndecdk1418 pages 16-26): D Martínez Alonso. Caracterización de cdk14-18 como dianas terapéuticas en carcinoma hepatocelular. Unknown journal, 2021.</w:t>
      </w:r>
    </w:p>
    <w:p>
      <w:pPr>
        <w:numPr>
          <w:ilvl w:val="0"/>
          <w:numId w:val="1002"/>
        </w:numPr>
      </w:pPr>
      <w:r>
        <w:t xml:space="preserve">(ettl2022therenaissanceof pages 2-4): Tobias Ettl, Daniela Schulz, and Richard Bauer. The renaissance of cyclin dependent kinase inhibitors. Cancers, 14:293, Jan 2022. URL: https://doi.org/10.3390/cancers14020293, doi:10.3390/cancers14020293. This article has 58 citations and is from a peer-reviewed journal.</w:t>
      </w:r>
    </w:p>
    <w:p>
      <w:pPr>
        <w:numPr>
          <w:ilvl w:val="0"/>
          <w:numId w:val="1002"/>
        </w:numPr>
      </w:pPr>
      <w:r>
        <w:t xml:space="preserve">(gopinathan2011establishedandnovel pages 8-10):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112 citations.</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(klenor2021rationaldesignof pages 13-16): M Klenor. Rational design of cyclin-dependent kinase inhibitors. Unknown journal, 2021.</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