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4 (CDK4) is a member of the cyclin‐dependent kinase family that falls within the CMGC group of serine/threonine kinases. It is evolutionarily restricted to metazoans and displays high conservation among vertebrate orthologs; its emergence is noted in the evolution of complex multicellular organisms, diverging from the more universal CDK1 homologs found in yeasts. CDK4, along with CDK6, forms a subfamily that is functionally specialized to mediate the G1 phase progression, and its conservation underscores its critical role in cell‐cycle regulation (doerig2005proteinkinasesas pages 7-8, harashima2013cellcyclecontrol pages 3-4).</w:t>
      </w:r>
    </w:p>
    <w:p>
      <w:pPr>
        <w:numPr>
          <w:ilvl w:val="0"/>
          <w:numId w:val="1001"/>
        </w:numPr>
      </w:pPr>
      <w:r>
        <w:t xml:space="preserve">Reaction Catalyzed</w:t>
      </w:r>
      <w:r>
        <w:br/>
      </w:r>
      <w:r>
        <w:t xml:space="preserve">The catalytic activity of CDK4 can be summarized by the reaction:</w:t>
      </w:r>
      <w:r>
        <w:br/>
      </w:r>
      <w:r>
        <w:t xml:space="preserve">ATP + [protein]–(L‐serine or L‐threonine) → ADP + [protein]–(L‐serine/threonine)‐phosphate + H⁺.</w:t>
      </w:r>
      <w:r>
        <w:br/>
      </w:r>
      <w:r>
        <w:t xml:space="preserve">In cells, CDK4 phosphorylates its substrates, such as members of the retinoblastoma (RB) protein family, to modulate signal transduction during the G1/S transition (chen2015bioinformaticsinprotein pages 2-2).</w:t>
      </w:r>
    </w:p>
    <w:p>
      <w:pPr>
        <w:numPr>
          <w:ilvl w:val="0"/>
          <w:numId w:val="1001"/>
        </w:numPr>
      </w:pPr>
      <w:r>
        <w:t xml:space="preserve">Cofactor Requirements</w:t>
      </w:r>
      <w:r>
        <w:br/>
      </w:r>
      <w:r>
        <w:t xml:space="preserve">CDK4 requires the presence of Mg²⁺ ions as a critical cofactor to facilitate ATP binding and phosphoryl transfer, a requirement that is common among protein kinases (chen2015bioinformaticsinprotein pages 2-2).</w:t>
      </w:r>
    </w:p>
    <w:p>
      <w:pPr>
        <w:numPr>
          <w:ilvl w:val="0"/>
          <w:numId w:val="1001"/>
        </w:numPr>
      </w:pPr>
      <w:r>
        <w:t xml:space="preserve">Substrate Specificity</w:t>
      </w:r>
      <w:r>
        <w:br/>
      </w:r>
      <w:r>
        <w:t xml:space="preserve">CDK4 preferentially phosphorylates serine/threonine residues within its substrates. Within the context of cyclin D–CDK4 complexes, its best‐characterized substrates are the retinoblastoma family proteins, such as RB1, whose phosphorylation results in the dissociation of the E2F transcription factors. Additional substrates include SMAD3, whose transcriptional activity is repressed upon phosphorylation by CDK4 in a cell‐cycle–dependent manner. Although a specific consensus substrate motif for CDK4 has not been exhaustively defined in the literature provided, its substrate recognition is tightly controlled by the assembly with cyclin D and by CDK inhibitors (doerig2005proteinkinasesas pages 7-8, harashima2013cellcyclecontrol pages 2-3).</w:t>
      </w:r>
    </w:p>
    <w:p>
      <w:pPr>
        <w:numPr>
          <w:ilvl w:val="0"/>
          <w:numId w:val="1001"/>
        </w:numPr>
      </w:pPr>
      <w:r>
        <w:t xml:space="preserve">Structure</w:t>
      </w:r>
      <w:r>
        <w:br/>
      </w:r>
      <w:r>
        <w:t xml:space="preserve">CDK4 exhibits the typical bilobal structure characteristic of protein kinases. The N-terminal lobe contains predominantly β-sheets and a conserved glycine-rich loop involved in ATP binding, while the C-terminal lobe is primarily α-helical and comprises the catalytic core that includes the activation loop and a conserved C-helix. The catalytic domain is flanked by less structured regions that are involved in interactions with cyclin D and CDK inhibitors such as p16^INK4a. Unique structural features of CDK4 include a distinct hinge region that influences inhibitor selectivity and a regulatory architecture that is modulated by cyclin binding, which in turn induces a conformational rearrangement essential for full catalytic activity (doerig2005proteinkinasesas pages 7-8, harashima2013cellcyclecontrol pages 4-5).</w:t>
      </w:r>
    </w:p>
    <w:p>
      <w:pPr>
        <w:numPr>
          <w:ilvl w:val="0"/>
          <w:numId w:val="1001"/>
        </w:numPr>
      </w:pPr>
      <w:r>
        <w:t xml:space="preserve">Regulation</w:t>
      </w:r>
      <w:r>
        <w:br/>
      </w:r>
      <w:r>
        <w:t xml:space="preserve">The activity of CDK4 is principally regulated by its association with D-type cyclins and by binding to CDK inhibitors, notably CDKN1B (p27^Kip1) and p16^INK4a. Assembly into the cyclin D–CDK4 complex is required for the kinase’s nuclear localization and subsequent enzymatic activity. Post-translational modifications, including phosphorylation events, further modulate its catalytic function during the cell cycle. For example, the phosphorylation of substrates such as RB1 and SMAD3 occurs in a tightly controlled, cell-cycle–dependent manner. The inhibitory interaction with CDK inhibitors blocks the ATP-binding site and prevents CDK4 activation, thereby serving as an essential mechanism to restrain cell-cycle progression (doerig2005proteinkinasesas pages 7-8, harashima2013cellcyclecontrol pages 6-8).</w:t>
      </w:r>
    </w:p>
    <w:p>
      <w:pPr>
        <w:numPr>
          <w:ilvl w:val="0"/>
          <w:numId w:val="1001"/>
        </w:numPr>
      </w:pPr>
      <w:r>
        <w:t xml:space="preserve">Function</w:t>
      </w:r>
      <w:r>
        <w:br/>
      </w:r>
      <w:r>
        <w:t xml:space="preserve">CDK4 plays an integral role in the regulation of cell-cycle progression through the G1 phase. By phosphorylating RB1, CDK4 induces the dissociation of the RB1/E2F complex, thereby facilitating the transcription of E2F target genes that drive the G1/S transition. In addition, CDK4 phosphorylates SMAD3 in a cell-cycle–dependent fashion, leading to the repression of its transcriptional activity. As a major integrator of mitogenic and antimitogenic signals, the cyclin D–CDK4 complex serves as a checkpoint regulator linking external growth signals to cell-cycle machinery (doerig2005proteinkinasesas pages 7-8, harashima2013cellcyclecontrol pages 2-3).</w:t>
      </w:r>
    </w:p>
    <w:p>
      <w:pPr>
        <w:numPr>
          <w:ilvl w:val="0"/>
          <w:numId w:val="1001"/>
        </w:numPr>
      </w:pPr>
      <w:r>
        <w:t xml:space="preserve">Other Comments</w:t>
      </w:r>
      <w:r>
        <w:br/>
      </w:r>
      <w:r>
        <w:t xml:space="preserve">CDK4 is an established target for cancer therapeutics, particularly in hormone receptor-positive breast cancer and other malignancies where its dysregulation contributes to uncontrolled proliferation. Inhibitors targeting CDK4/6, such as palbociclib, have been developed and are actively under clinical investigation in multiple trials (e.g., NCT06790693, NCT05969184, NCT06207734, NCT06558084, NCT05977036). These pharmacological agents act by inhibiting the kinase activity of CDK4, thereby restoring control over the cell cycle. Known disease associations also point to mutations and dysregulation of CDK4 as contributory factors in oncogenesis (NCT06790693, NCT05969184).</w:t>
      </w:r>
    </w:p>
    <w:p>
      <w:pPr>
        <w:numPr>
          <w:ilvl w:val="0"/>
          <w:numId w:val="1001"/>
        </w:numPr>
      </w:pPr>
      <w:r>
        <w:t xml:space="preserve">References</w:t>
      </w:r>
      <w:r>
        <w:br/>
      </w:r>
    </w:p>
    <w:p>
      <w:pPr>
        <w:numPr>
          <w:ilvl w:val="0"/>
          <w:numId w:val="1001"/>
        </w:numPr>
      </w:pPr>
      <w:r>
        <w:t xml:space="preserve">doerig2005proteinkinasesas pages 7-8</w:t>
      </w:r>
      <w:r>
        <w:br/>
      </w:r>
    </w:p>
    <w:p>
      <w:pPr>
        <w:numPr>
          <w:ilvl w:val="0"/>
          <w:numId w:val="1001"/>
        </w:numPr>
      </w:pPr>
      <w:r>
        <w:t xml:space="preserve">harashima2013cellcyclecontrol pages 3-4</w:t>
      </w:r>
      <w:r>
        <w:br/>
      </w:r>
    </w:p>
    <w:p>
      <w:pPr>
        <w:numPr>
          <w:ilvl w:val="0"/>
          <w:numId w:val="1001"/>
        </w:numPr>
      </w:pPr>
      <w:r>
        <w:t xml:space="preserve">harashima2013cellcyclecontrol pages 6-8</w:t>
      </w:r>
      <w:r>
        <w:br/>
      </w:r>
    </w:p>
    <w:p>
      <w:pPr>
        <w:numPr>
          <w:ilvl w:val="0"/>
          <w:numId w:val="1001"/>
        </w:numPr>
      </w:pPr>
      <w:r>
        <w:t xml:space="preserve">chen2015bioinformaticsinprotein pages 2-2</w:t>
      </w:r>
      <w:r>
        <w:br/>
      </w:r>
    </w:p>
    <w:p>
      <w:pPr>
        <w:numPr>
          <w:ilvl w:val="0"/>
          <w:numId w:val="1001"/>
        </w:numPr>
      </w:pPr>
      <w:r>
        <w:t xml:space="preserve">NCT06790693</w:t>
      </w:r>
      <w:r>
        <w:br/>
      </w:r>
    </w:p>
    <w:p>
      <w:pPr>
        <w:numPr>
          <w:ilvl w:val="0"/>
          <w:numId w:val="1001"/>
        </w:numPr>
      </w:pPr>
      <w:r>
        <w:t xml:space="preserve">NCT05969184</w:t>
      </w:r>
      <w:r>
        <w:br/>
      </w:r>
    </w:p>
    <w:p>
      <w:pPr>
        <w:numPr>
          <w:ilvl w:val="0"/>
          <w:numId w:val="1001"/>
        </w:numPr>
      </w:pPr>
      <w:r>
        <w:t xml:space="preserve">NCT06207734</w:t>
      </w:r>
      <w:r>
        <w:br/>
      </w:r>
    </w:p>
    <w:p>
      <w:pPr>
        <w:numPr>
          <w:ilvl w:val="0"/>
          <w:numId w:val="1001"/>
        </w:numPr>
      </w:pPr>
      <w:r>
        <w:t xml:space="preserve">NCT06558084</w:t>
      </w:r>
      <w:r>
        <w:br/>
      </w:r>
    </w:p>
    <w:p>
      <w:pPr>
        <w:numPr>
          <w:ilvl w:val="0"/>
          <w:numId w:val="1001"/>
        </w:numPr>
      </w:pPr>
      <w:r>
        <w:t xml:space="preserve">NCT05977036</w:t>
      </w:r>
    </w:p>
    <w:p>
      <w:pPr>
        <w:pStyle w:val="FirstParagraph"/>
      </w:pPr>
      <w:r>
        <w:t xml:space="preserve">References</w:t>
      </w:r>
    </w:p>
    <w:p>
      <w:pPr>
        <w:numPr>
          <w:ilvl w:val="0"/>
          <w:numId w:val="1002"/>
        </w:numPr>
      </w:pPr>
      <w:r>
        <w:t xml:space="preserve">(NCT06790693): A Study Evaluating the Efficacy and Safety of Inavolisib Plus CDK4/6 Inhibitor and Letrozole vs Placebo + CDK4/6i and Letrozole in Participants With Endocrine-Sensitive PIK3CA-Mutated, Hormone Receptor-Positive, HER2-Negative Advanced Breast Cancer. Hoffmann-La Roche. 2025. ClinicalTrials.gov Identifier: NCT06790693</w:t>
      </w:r>
    </w:p>
    <w:p>
      <w:pPr>
        <w:numPr>
          <w:ilvl w:val="0"/>
          <w:numId w:val="1002"/>
        </w:numPr>
      </w:pPr>
      <w:r>
        <w:t xml:space="preserve">(NCT05969184): Li Huiping. Palbociclib Combine With Anti-HER2 Therapy in Triple Positive ABC. Peking University Cancer Hospital &amp; Institute. 2021. ClinicalTrials.gov Identifier: NCT05969184</w:t>
      </w:r>
    </w:p>
    <w:p>
      <w:pPr>
        <w:numPr>
          <w:ilvl w:val="0"/>
          <w:numId w:val="1002"/>
        </w:numPr>
      </w:pPr>
      <w:r>
        <w:t xml:space="preserve">(NCT05977036): BettER: Biomarker Driven Early Therapeutic Selection in Patients With HR+ HER2- Metastatic or Unresectable Breast Cancer. Washington University School of Medicine. 2024. ClinicalTrials.gov Identifier: NCT05977036</w:t>
      </w:r>
    </w:p>
    <w:p>
      <w:pPr>
        <w:numPr>
          <w:ilvl w:val="0"/>
          <w:numId w:val="1002"/>
        </w:numPr>
      </w:pPr>
      <w:r>
        <w:t xml:space="preserve">(NCT06207734): Discontinuation of CDK4/6 Inhibitors in Patients With Metastatic HR Positive, HER2 Negative Breast Cancer. Institut für Klinische Krebsforschung IKF GmbH at Krankenhaus Nordwest. 2024. ClinicalTrials.gov Identifier: NCT06207734</w:t>
      </w:r>
    </w:p>
    <w:p>
      <w:pPr>
        <w:numPr>
          <w:ilvl w:val="0"/>
          <w:numId w:val="1002"/>
        </w:numPr>
      </w:pPr>
      <w:r>
        <w:t xml:space="preserve">(NCT06558084): Asmaa Ali. Real-World Clinical Outcomes and Toxicity in Metastatic Breast Cancer Patients Treated With First or Second Line CDK 4/6 Inhibitors and Endocrine Therapy. Ain Shams University. 2022. ClinicalTrials.gov Identifier: NCT06558084</w:t>
      </w:r>
    </w:p>
    <w:p>
      <w:pPr>
        <w:numPr>
          <w:ilvl w:val="0"/>
          <w:numId w:val="1002"/>
        </w:numPr>
      </w:pPr>
      <w:r>
        <w:t xml:space="preserve">(chen2015bioinformaticsinprotein pages 2-2): Qingfeng Chen, Haiqiong Luo, Chengqi Zhang, and Yi-Ping Phoebe Chen. Bioinformatics in protein kinases regulatory network and drug discovery. Mathematical Biosciences, 262:147-156, Apr 2015. URL: https://doi.org/10.1016/j.mbs.2015.01.010, doi:10.1016/j.mbs.2015.01.010. This article has 22 citations and is from a peer-reviewed journal.</w:t>
      </w:r>
    </w:p>
    <w:p>
      <w:pPr>
        <w:numPr>
          <w:ilvl w:val="0"/>
          <w:numId w:val="1002"/>
        </w:numPr>
      </w:pPr>
      <w:r>
        <w:t xml:space="preserve">(doerig2005proteinkinasesas pages 7-8): Christian Doerig, Oliver Billker, David Pratt, and Jane Endicott. Protein kinases as targets for antimalarial intervention: kinomics, structure-based design, transmission-blockade, and targeting host cell enzymes. Biochimica et biophysica acta, 1754 1-2:132-50, Dec 2005. URL: https://doi.org/10.1016/j.bbapap.2005.08.027, doi:10.1016/j.bbapap.2005.08.027. This article has 105 citations.</w:t>
      </w:r>
    </w:p>
    <w:p>
      <w:pPr>
        <w:numPr>
          <w:ilvl w:val="0"/>
          <w:numId w:val="1002"/>
        </w:numPr>
      </w:pPr>
      <w:r>
        <w:t xml:space="preserve">(harashima2013cellcyclecontrol pages 2-3): Hirofumi Harashima, Nico Dissmeyer, and Arp Schnittger. Cell cycle control across the eukaryotic kingdom. Trends in Cell Biology, 23:345-356, Jul 2013. URL: https://doi.org/10.1016/j.tcb.2013.03.002, doi:10.1016/j.tcb.2013.03.002. This article has 497 citations and is from a domain leading peer-reviewed journal.</w:t>
      </w:r>
    </w:p>
    <w:p>
      <w:pPr>
        <w:numPr>
          <w:ilvl w:val="0"/>
          <w:numId w:val="1002"/>
        </w:numPr>
      </w:pPr>
      <w:r>
        <w:t xml:space="preserve">(harashima2013cellcyclecontrol pages 4-5): Hirofumi Harashima, Nico Dissmeyer, and Arp Schnittger. Cell cycle control across the eukaryotic kingdom. Trends in Cell Biology, 23:345-356, Jul 2013. URL: https://doi.org/10.1016/j.tcb.2013.03.002, doi:10.1016/j.tcb.2013.03.002. This article has 497 citations and is from a domain leading peer-reviewed journal.</w:t>
      </w:r>
    </w:p>
    <w:p>
      <w:pPr>
        <w:numPr>
          <w:ilvl w:val="0"/>
          <w:numId w:val="1002"/>
        </w:numPr>
      </w:pPr>
      <w:r>
        <w:t xml:space="preserve">(harashima2013cellcyclecontrol pages 6-8): Hirofumi Harashima, Nico Dissmeyer, and Arp Schnittger. Cell cycle control across the eukaryotic kingdom. Trends in Cell Biology, 23:345-356, Jul 2013. URL: https://doi.org/10.1016/j.tcb.2013.03.002, doi:10.1016/j.tcb.2013.03.002. This article has 497 citations and is from a domain leading peer-reviewed journal.</w:t>
      </w:r>
    </w:p>
    <w:p>
      <w:pPr>
        <w:numPr>
          <w:ilvl w:val="0"/>
          <w:numId w:val="1002"/>
        </w:numPr>
      </w:pPr>
      <w:r>
        <w:t xml:space="preserve">(harashima2013cellcyclecontrol pages 3-4): Hirofumi Harashima, Nico Dissmeyer, and Arp Schnittger. Cell cycle control across the eukaryotic kingdom. Trends in Cell Biology, 23:345-356, Jul 2013. URL: https://doi.org/10.1016/j.tcb.2013.03.002, doi:10.1016/j.tcb.2013.03.002. This article has 497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2025-05-23T18:26:51Z</dcterms:created>
  <dcterms:modified xsi:type="dcterms:W3CDTF">2025-05-23T18:26:51Z</dcterms:modified>
</cp:coreProperties>
</file>

<file path=docProps/custom.xml><?xml version="1.0" encoding="utf-8"?>
<Properties xmlns="http://schemas.openxmlformats.org/officeDocument/2006/custom-properties" xmlns:vt="http://schemas.openxmlformats.org/officeDocument/2006/docPropsVTypes"/>
</file>