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5′-AMP-activated protein kinase catalytic subunit alpha-2 (PRKAA2), also designated as AMPKα2 or AMPK2, forms an integral component of the cellular energy homeostasis machinery that is evolutionarily conserved among eukaryotes. This kinase belongs to the serine/threonine kinase family and is grouped within the calcium/calmodulin-dependent protein kinase (CAMK) branch, which includes other kinases that respond to changes in cellular energy and nutrient status. Phylogenetic analyses indicate that the basic elements of the AMPK complex appeared very early in evolution and that orthologs of PRKAA2 can be identified in a broad spectrum of organisms ranging from unicellular yeast to complex mammals. In lower eukaryotes, a single catalytic subunit of AMPK is often present; however, gene duplication events in vertebrates have resulted in two distinct isoforms – AMPKα1, encoded by PRKAA1, and AMPKα2, encoded by PRKAA2. AMPKα2 is thought to have evolved to assume specialized roles in tissues that exhibit high metabolic demands, such as skeletal and cardiac muscle, where precise and rapid energy sensing is crucial for proper function (arkwright2015lessonsfromnature pages 3-4, dasgupta2016evolvinglessonson pages 1-2). Furthermore, the modular heterotrimeric architecture composed of the catalytic α subunit together with regulatory β and γ subunits is a feature that has been preserved since the Last Eukaryotic Common Ancestor (LECA), underscoring the fundamental nature of its regulatory mechanisms. Phylogenetic profiling and ortholog identification methods have demonstrated that sequences homologous to PRKAA2 consistently appear across metazoans, plants, and fungi, highlighting its ancient and indispensable role in coupling the cellular energy state to metabolic control (jain2018studyingampkin pages 1-3).</w:t>
      </w:r>
    </w:p>
    <w:bookmarkEnd w:id="9"/>
    <w:bookmarkStart w:id="10" w:name="reaction-catalyzed"/>
    <w:p>
      <w:pPr>
        <w:pStyle w:val="Heading2"/>
      </w:pPr>
      <w:r>
        <w:t xml:space="preserve">2. Reaction Catalyzed</w:t>
      </w:r>
    </w:p>
    <w:p>
      <w:pPr>
        <w:pStyle w:val="FirstParagraph"/>
      </w:pPr>
      <w:r>
        <w:t xml:space="preserve">AMPKα2 functions as a classical serine/threonine protein kinase and catalyzes the transfer of the γ-phosphate moiety from ATP to specific serine or threonine residues on a range of substrate proteins. The reaction is formally represented as:</w:t>
      </w:r>
    </w:p>
    <w:p>
      <w:pPr>
        <w:pStyle w:val="BodyText"/>
      </w:pPr>
      <w:r>
        <w:t xml:space="preserve">  ATP + [protein]-(Ser/Thr) → ADP + [protein]-(Ser/Thr)-phosphate + H⁺</w:t>
      </w:r>
    </w:p>
    <w:p>
      <w:pPr>
        <w:pStyle w:val="BodyText"/>
      </w:pPr>
      <w:r>
        <w:t xml:space="preserve">This basic phosphoryl transfer reaction is central to the enzyme’s ability to modulate protein function through post-translational modification. Under conditions of cellular energy deficit, reflected by an increased AMP/ATP ratio, AMPKα2 becomes activated and subsequently phosphorylates key target enzymes. For instance, phosphorylation of acetyl-CoA carboxylases (ACACA and ACACB) decreases their activity, thereby inhibiting fatty acid synthesis and favoring fatty acid oxidation—a metabolic switch critical for restoring ATP levels. Similarly, phosphorylation of glycogen synthase (GYS1) leads to reduced glycogen synthesis, rerouting glucose substrates toward energy production rather than storage. In addition, AMPKα2 targets enzymes involved in cholesterol synthesis and modulates factors that regulate insulin signaling and glycolysis. The precise mechanism of the phosphoryl transfer involves the proper positioning of both ATP and the substrate within the catalytic cleft of the kinase domain, where nucleophilic attack occurs at the γ-phosphate of ATP, resulting in the production of ADP and a phosphorylated protein substrate. Such modifications are essential to rapidly alter the activity of metabolic enzymes and transcriptional regulators in response to energy stress (phadke2015chemicalmodulationof pages 83-87, dasgupta2016evolvinglessonson pages 4-6).</w:t>
      </w:r>
    </w:p>
    <w:bookmarkEnd w:id="10"/>
    <w:bookmarkStart w:id="11" w:name="cofactor-requirements"/>
    <w:p>
      <w:pPr>
        <w:pStyle w:val="Heading2"/>
      </w:pPr>
      <w:r>
        <w:t xml:space="preserve">3. Cofactor Requirements</w:t>
      </w:r>
    </w:p>
    <w:p>
      <w:pPr>
        <w:pStyle w:val="FirstParagraph"/>
      </w:pPr>
      <w:r>
        <w:t xml:space="preserve">The catalytic activity of AMPKα2 is highly dependent on essential cofactors that ensure proper substrate engagement and optimal phosphoryl transfer. The foremost requirement is the divalent metal ion magnesium (Mg²⁺), which plays a critical role in the formation of the MgATP complex. This complex is the true substrate for kinases, as Mg²⁺ coordinates with ATP to stabilize its structure in a conformation favorable for phosphate transfer. The ion’s role is thus twofold: it ensures the effective positioning of ATP in the active site and directly participates in the catalysis by stabilizing the negative charges on the phosphate groups during the transition state. In addition to magnesium, the regulatory nucleotides AMP and ADP are not cofactors in the classic sense; however, their binding to the γ subunit of the AMPK heterotrimer is vital for allosteric regulation. Binding of AMP and ADP induces conformational changes that not only promote the phosphorylation of Thr172—an essential activatory phosphorylation site on AMPKα2—but also safeguard this phosphorylated residue from dephosphorylation by phosphatases. Thus, while Mg²⁺ is critical for the catalytic reaction, AMP and ADP serve as molecular sensors that align the kinase activity of AMPKα2 with the prevailing cellular energy status (phadke2015chemicalmodulationof pages 83-87, ovens2021posttranslationalmodificationsof pages 2-5, lin2018ampksensingglucose pages 3-4).</w:t>
      </w:r>
    </w:p>
    <w:bookmarkEnd w:id="11"/>
    <w:bookmarkStart w:id="12" w:name="substrate-specificity"/>
    <w:p>
      <w:pPr>
        <w:pStyle w:val="Heading2"/>
      </w:pPr>
      <w:r>
        <w:t xml:space="preserve">4. Substrate Specificity</w:t>
      </w:r>
    </w:p>
    <w:p>
      <w:pPr>
        <w:pStyle w:val="FirstParagraph"/>
      </w:pPr>
      <w:r>
        <w:t xml:space="preserve">AMPKα2 is characterized by a broad substrate specificity that underlies its role as a master regulator of cellular energy metabolism. Its substrates include a wide array of metabolic enzymes, signaling intermediates, and transcriptional regulators, all of which contribute to the coordinated cellular response during energy stress. Among the most physiologically relevant substrates are enzymes involved in lipid metabolism. For example, phosphorylation of acetyl-CoA carboxylase isoforms ACACA and ACACB by AMPKα2 leads to their inactivation. This modification results in decreased fatty acid synthesis while simultaneously promoting fatty acid oxidation—a dual effect that conserves energy under metabolic stress. Additionally, AMPKα2 phosphorylates hormone-sensitive lipase (LIPE), an enzyme crucial for mobilizing lipids from storage droplets, thereby facilitating lipolysis. Enzymes such as hydroxymethylglutaryl-CoA reductase (HMGCR), which plays a key role in cholesterol biosynthesis, are also targeted by AMPKα2, effectively throttling cholesterol synthesis when energy is scarce (arkwright2015lessonsfromnature pages 3-4, phadke2015chemicalmodulationof pages 83-87).</w:t>
      </w:r>
    </w:p>
    <w:p>
      <w:pPr>
        <w:pStyle w:val="BodyText"/>
      </w:pPr>
      <w:r>
        <w:t xml:space="preserve">Beyond its impact on lipid metabolism, AMPKα2 modulates glucose homeostasis by phosphorylating enzymes and regulatory proteins involved in carbohydrate metabolism. Phosphorylation of glycogen synthase (GYS1) diminishes its activity, leading to reduced glycogen synthesis, and nudges glucose substrates toward catabolic pathways that yield ATP. In the context of insulin signaling, AMPKα2 phosphorylates key proteins such as insulin receptor substrate 1 (IRS1) and glycolytic regulators like PFKFB2 and PFKFB3. These modifications are instrumental in enhancing insulin sensitivity and promoting energy production by stimulating glucose uptake, partially through the translocation of the glucose transporter GLUT4 to the plasma membrane. This orchestrated control over nutrient metabolism exemplifies the enzyme’s capacity to finely tune both immediate and longer-term adaptive responses to energy depletion (phadke2015chemicalmodulationof pages 96-100, dasgupta2016evolvinglessonson pages 1-2, mestareehi2021proteinphosphatase2a pages 229-232, lin2018ampksensingglucose pages 3-4).</w:t>
      </w:r>
    </w:p>
    <w:p>
      <w:pPr>
        <w:pStyle w:val="BodyText"/>
      </w:pPr>
      <w:r>
        <w:t xml:space="preserve">In addition to enzymes directly linked to nutrient metabolism, AMPKα2 targets a plethora of transcriptional regulators and chromatin components. Key substrates include CRTC2/TORC2 and FOXO3, whose phosphorylation alters their cellular localization and transcriptional activity, leading to changes in gene expression that support long-term metabolic adaptation. Phosphorylation of histone H2B, particularly at Ser36, is another example, indicating that AMPKα2 can exert epigenetic control over gene expression in response to energetic cues. Overall, although the precise consensus sequence for AMPK phosphorylation is not rigidly defined, substrates typically feature serine or threonine residues situated within a context of basic or hydrophobic amino acids, allowing AMPKα2 to recognize a diverse range of target proteins (arkwright2015lessonsfromnature pages 3-4, phadke2015chemicalmodulationof pages 83-87).</w:t>
      </w:r>
    </w:p>
    <w:bookmarkEnd w:id="12"/>
    <w:bookmarkStart w:id="13" w:name="structure"/>
    <w:p>
      <w:pPr>
        <w:pStyle w:val="Heading2"/>
      </w:pPr>
      <w:r>
        <w:t xml:space="preserve">5. Structure</w:t>
      </w:r>
    </w:p>
    <w:p>
      <w:pPr>
        <w:pStyle w:val="FirstParagraph"/>
      </w:pPr>
      <w:r>
        <w:t xml:space="preserve">The structure of AMPKα2 is defined by its modular design, which integrates a catalytic kinase domain along with regulatory regions that mediate interactions within the heterotrimeric complex. The N-terminal portion of AMPKα2 harbors a canonical serine/threonine kinase domain organized into two lobes: a smaller N-lobe, which is rich in β-strands and is primarily responsible for binding MgATP, and a larger C-lobe that contains the substrate-binding region and an activation loop. The activation loop, featuring the critical threonine residue Thr172, is the central regulatory element; phosphorylation at this site triggers a conformational change that increases catalytic activity considerably, often by more than 100-fold (hawley2023bay3827andsbi0206965 pages 1-2).</w:t>
      </w:r>
    </w:p>
    <w:p>
      <w:pPr>
        <w:pStyle w:val="BodyText"/>
      </w:pPr>
      <w:r>
        <w:t xml:space="preserve">Immediately following the kinase domain is an autoinhibitory domain (AID), which in the basal state interacts with the kinase domain to maintain the enzyme in a relatively low-activity conformation. This autoinhibitory interaction can be relieved by allosteric signals, particularly through the binding of AMP to the regulatory γ subunit of the AMPK heterotrimer. An intervening α-linker region connects the catalytic core to a serine/threonine-rich (ST) loop located near the C-terminus. The ST loop serves as a platform for several regulatory phosphorylation events that influence the accessibility of the activation loop (especially Thr172) to both upstream activating kinases and validating phosphatases (ovens2021posttranslationalmodificationsof pages 21-22, ovens2021posttranslationalmodificationsof pages 5-6).</w:t>
      </w:r>
    </w:p>
    <w:p>
      <w:pPr>
        <w:pStyle w:val="BodyText"/>
      </w:pPr>
      <w:r>
        <w:t xml:space="preserve">When fully assembled into its heterotrimeric form, the AMPK complex consists of the catalytic α subunit, a regulatory β subunit, and a nucleotide-sensing γ subunit. The β subunit contributes a carbohydrate-binding module (CBM), which is implicated in glycogen binding as well as in forming part of the allosteric drug and metabolite (ADaM) site. In parallel, the γ subunit comprises several cystathionine β-synthase (CBS) domains that create binding pockets for AMP, ADP, and ATP. These nucleotide-binding events promote dynamic structural rearrangements that ultimately affect the conformation and function of the kinase domain in AMPKα2 (hawley2023bay3827andsbi0206965 pages 18-19, ovens2021posttranslationalmodificationsof pages 2-5).</w:t>
      </w:r>
    </w:p>
    <w:p>
      <w:pPr>
        <w:pStyle w:val="BodyText"/>
      </w:pPr>
      <w:r>
        <w:t xml:space="preserve">Key catalytic residues within the kinase domain include the invariant lysine crucial for ATP binding and a glycine-rich loop that properly orients the nucleotide in the active site. Structural studies employing crystallography and computational models (complemented by AlphaFold predictions) have underscored the conservation of these features among eukaryotic kinases, and have illuminated the dynamic conformational shifts that occur upon Thr172 phosphorylation—changes that are critical for switching the kinase into its active state (hawley2023bay3827andsbi0206965 pages 1-2).</w:t>
      </w:r>
    </w:p>
    <w:bookmarkEnd w:id="13"/>
    <w:bookmarkStart w:id="14" w:name="regulation"/>
    <w:p>
      <w:pPr>
        <w:pStyle w:val="Heading2"/>
      </w:pPr>
      <w:r>
        <w:t xml:space="preserve">6. Regulation</w:t>
      </w:r>
    </w:p>
    <w:p>
      <w:pPr>
        <w:pStyle w:val="FirstParagraph"/>
      </w:pPr>
      <w:r>
        <w:t xml:space="preserve">The regulation of AMPKα2 is a multi-layered process that integrates allosteric modulation, post-translational modifications (PTMs), and the formation of heterotrimeric complexes. The cornerstone of AMPKα2 activation is the phosphorylation of Thr172 within the activation loop of the kinase domain. This phosphorylation event is essential for full catalytic activity and is carried out primarily by upstream kinases such as LKB1 under conditions of energy stress. In parallel, CaMKKβ and in some situations TAK1 can phosphorylate Thr172, ensuring that AMPKα2 responds to a variety of cellular signals (dasgupta2016evolvinglessonson pages 1-2, hawley2023bay3827andsbi0206965 pages 1-2).</w:t>
      </w:r>
    </w:p>
    <w:p>
      <w:pPr>
        <w:pStyle w:val="BodyText"/>
      </w:pPr>
      <w:r>
        <w:t xml:space="preserve">Allosteric regulation is further mediated by the binding of AMP—and to a lesser extent ADP—to the γ subunit of the AMPK complex. The occupancy of these nucleotide-binding sites induces a conformational change that favors the phosphorylation of Thr172 by upstream kinases while simultaneously protecting the phosphorylated residue from dephosphorylation by protein phosphatases. This dual role of AMP and ADP ensures that AMPKα2 becomes activated precisely when the cellular energy charge is low (lin2018ampksensingglucose pages 3-4, ovens2021posttranslationalmodificationsof pages 2-5).</w:t>
      </w:r>
    </w:p>
    <w:p>
      <w:pPr>
        <w:pStyle w:val="BodyText"/>
      </w:pPr>
      <w:r>
        <w:t xml:space="preserve">Beyond Thr172, additional phosphorylation events on AMPKα2 contribute to its fine-tuned regulation. Within the serine/threonine-rich (ST) loop and the α-linker regions, residues such as Ser345 have been identified as phosphorylation sites that can exert inhibitory effects by reducing access of activating kinases to Thr172 or promoting dephosphorylation. Kinases including PKA, CDK4, and GSK3 are implicated in these regulatory modifications, providing a negative feedback mechanism that prevents excessive AMPK activation during conditions of nutrient sufficiency (mohanty2025rethinkingampka pages 15-16, ovens2021posttranslationalmodificationsof pages 5-6).</w:t>
      </w:r>
    </w:p>
    <w:p>
      <w:pPr>
        <w:pStyle w:val="BodyText"/>
      </w:pPr>
      <w:r>
        <w:t xml:space="preserve">Additional layers of regulation arise from the heterotrimer composition itself. Changes in the expression levels or isoform composition of the β and γ subunits can alter the sensitivity of the AMPK complex to AMP/ADP and affect subcellular localization. Moreover, other post-translational modifications such as ubiquitination, sumoylation, acetylation, and oxidative modifications have been reported. Although the precise roles of these modifications are still being elucidated, they are believed to influence the stability of AMPKα2, its interaction with other proteins, and its overall responsiveness to metabolic signals (ovens2021posttranslationalmodificationsof pages 16-18, mohanty2025rethinkingampka pages 15-16).</w:t>
      </w:r>
    </w:p>
    <w:p>
      <w:pPr>
        <w:pStyle w:val="BodyText"/>
      </w:pPr>
      <w:r>
        <w:t xml:space="preserve">Thus, the activity of AMPKα2 is controlled by a sophisticated network in which phosphorylation of Thr172 acts as the acute switch on, while additional modifications of peripheral sites provide fine control over its overall kinase function. This multifaceted regulatory scheme enables the enzyme not only to respond rapidly to changes in the cellular energy status but also to integrate long-term signals that affect cell growth, metabolism, and survival (dasgupta2016evolvinglessonson pages 1-2, hawley2023bay3827andsbi0206965 pages 19-20, ovens2021posttranslationalmodificationsof pages 20-21, ovens2021posttranslationalmodificationsof pages 21-22).</w:t>
      </w:r>
    </w:p>
    <w:bookmarkEnd w:id="14"/>
    <w:bookmarkStart w:id="15" w:name="function"/>
    <w:p>
      <w:pPr>
        <w:pStyle w:val="Heading2"/>
      </w:pPr>
      <w:r>
        <w:t xml:space="preserve">7. Function</w:t>
      </w:r>
    </w:p>
    <w:p>
      <w:pPr>
        <w:pStyle w:val="FirstParagraph"/>
      </w:pPr>
      <w:r>
        <w:t xml:space="preserve">AMPKα2 functions as the pivotal metabolic switch that orchestrates the cellular response to energy depletion by coordinating both immediate and long-term adaptations. Under conditions when ATP levels fall and AMP concentration rises, AMPKα2 is activated and triggers a cascade of phosphorylation events intended to restore energy balance. One of its most well-documented functions is the regulation of lipid metabolism. By phosphorylating ACACA and ACACB, AMPKα2 inhibits fatty acid synthesis while promoting fatty acid oxidation—a metabolic reprogramming that provides rapid access to energy stores. This action is complemented by the phosphorylation of LIPE, which facilitates lipolysis, and the suppression of HMGCR, thus constraining cholesterol biosynthesis (arkwright2015lessonsfromnature pages 3-4, phadke2015chemicalmodulationof pages 96-100).</w:t>
      </w:r>
    </w:p>
    <w:p>
      <w:pPr>
        <w:pStyle w:val="BodyText"/>
      </w:pPr>
      <w:r>
        <w:t xml:space="preserve">In addition to its role in lipid metabolism, AMPKα2 exerts significant control over glucose homeostasis. Phosphorylation of glycogen synthase (GYS1) by AMPKα2 decreases glycogen synthesis, thereby directing glucose toward energy-generating pathways rather than storage. It also modulates insulin signaling through targeted phosphorylation of IRS1 and influences glycolysis via modifications of PFKFB2 and PFKFB3. A key functional outcome of these phosphorylation events is the promotion of glucose uptake, particularly in skeletal muscle, where the translocation of the GLUT4 glucose transporter to the plasma membrane is enhanced. This adaptive response is critical for restoring energy balance under conditions of nutrient scarcity (dasgupta2016evolvinglessonson pages 11-12, ertefai2016resistancemechanismsduring pages 313-321).</w:t>
      </w:r>
    </w:p>
    <w:p>
      <w:pPr>
        <w:pStyle w:val="BodyText"/>
      </w:pPr>
      <w:r>
        <w:t xml:space="preserve">Beyond its immediate metabolic effects, AMPKα2 is instrumental in driving long-term adaptive responses by modulating gene expression. Phosphorylation of transcriptional regulators such as CRTC2/TORC2, FOXO3, and histone H2B (notably at Ser36) leads to changes in chromatin structure and the transcription of genes that underpin a shift toward catabolic metabolism. These transcriptional changes result in a more sustained cellular adaptation to energy stress, affecting processes such as mitochondrial biogenesis, autophagy, and overall stress survival (arkwright2015lessonsfromnature pages 3-4, dasgupta2016evolvinglessonson pages 11-12).</w:t>
      </w:r>
    </w:p>
    <w:p>
      <w:pPr>
        <w:pStyle w:val="BodyText"/>
      </w:pPr>
      <w:r>
        <w:t xml:space="preserve">Moreover, AMPKα2 plays a central role in controlling cell growth and proliferation by negatively regulating the mTORC1 pathway. Through phosphorylation of TSC2, RPTOR, and WDR24, AMPKα2 inhibits mTORC1, thereby limiting anabolic processes (e.g., protein synthesis) and promoting cellular autophagy. This mTORC1 inhibition is particularly important during nutrient limitation, as it facilitates the recycling of cellular components and prevents the wastage of precious energy resources. Furthermore, phosphorylation of autophagy-related proteins such as ULK1 and WDR45/WIPI4 by AMPKα2 actively promotes autophagic processes essential for cell survival during prolonged energy stress (mestareehi2021proteinphosphatase2a pages 229-232, dasgupta2016evolvinglessonson pages 11-12).</w:t>
      </w:r>
    </w:p>
    <w:p>
      <w:pPr>
        <w:pStyle w:val="BodyText"/>
      </w:pPr>
      <w:r>
        <w:t xml:space="preserve">In addition, AMPKα2 intersects with pathways governing apoptosis and cell cycle regulation. Its ability to phosphorylate caspase-6 prevents caspase autoprocessing and apoptosis, thereby affording protection to cells during transient periods of metabolic stress. By also influencing the activity of factors such as FNIP1 and p53, AMPKα2 contributes to balancing cell proliferation and survival in alignment with the cellular energy state (mohanty2025rethinkingampka pages 1-2, mestareehi2021proteinphosphatase2a pages 225-229).</w:t>
      </w:r>
    </w:p>
    <w:p>
      <w:pPr>
        <w:pStyle w:val="BodyText"/>
      </w:pPr>
      <w:r>
        <w:t xml:space="preserve">Lastly, AMPKα2 has been implicated in the control of cellular polarity and cytoskeletal dynamics. Through the phosphorylation of targets such as beta-catenin (CTNNB1) and possibly via indirect regulation of myosin activity, AMPKα2 may affect cellular motility and tissue organization. These functions underscore its dual role not only as a metabolic regulator but also as a coordinator of broader cellular architectural processes, linking energy status to changes in cell shape, migration, and intercellular interactions (arkwright2015lessonsfromnature pages 3-4, ovens2021posttranslationalmodificationsof pages 9-10).</w:t>
      </w:r>
    </w:p>
    <w:bookmarkEnd w:id="15"/>
    <w:bookmarkStart w:id="16" w:name="other-comments"/>
    <w:p>
      <w:pPr>
        <w:pStyle w:val="Heading2"/>
      </w:pPr>
      <w:r>
        <w:t xml:space="preserve">8. Other Comments</w:t>
      </w:r>
    </w:p>
    <w:p>
      <w:pPr>
        <w:pStyle w:val="FirstParagraph"/>
      </w:pPr>
      <w:r>
        <w:t xml:space="preserve">Due to its central role in energy management, AMPKα2 has attracted extensive attention as a therapeutic target for metabolic disorders such as type 2 diabetes, obesity, and cardiovascular disease. Pharmacological activation of AMPKα2 using agents that increase AMP binding or that promote Thr172 phosphorylation has shown promise in improving insulin sensitivity and metabolic flexibility. Conversely, paradoxical inhibitors have been described which, while inhibiting downstream substrate phosphorylation, can increase Thr172 phosphorylation—underscoring the complexity of AMPKα2 regulation and the need for isoform-specific modulators (hawley2023bay3827andsbi0206965 pages 13-15, mohanty2025rethinkingampka pages 15-16).</w:t>
      </w:r>
    </w:p>
    <w:p>
      <w:pPr>
        <w:pStyle w:val="BodyText"/>
      </w:pPr>
      <w:r>
        <w:t xml:space="preserve">In oncology, AMPKα2 plays a dual role. In some cancers, activation of AMPKα2 acts as a tumor suppressor by limiting biosynthetic pathways and curtailing cell growth under nutrient stress; in other contexts, however, cells may exploit an activated AMPKα2 pathway to survive under adverse conditions such as hypoxia or extreme metabolic stress. This dichotomy has spurred research into the impact of AMPKα2 expression levels and mutations on cancer outcomes, as well as on the potential of AMPKα2-targeted therapies to resensitize resistant tumors (ertefai2016resistancemechanismsduring pages 309-313, dasgupta2016evolvinglessonson pages 11-12).</w:t>
      </w:r>
    </w:p>
    <w:p>
      <w:pPr>
        <w:pStyle w:val="BodyText"/>
      </w:pPr>
      <w:r>
        <w:t xml:space="preserve">Furthermore, the heterotrimeric composition of AMPK, which can vary depending on the isoforms of the β and γ subunits, is an area of active investigation. It is increasingly evident that the combinatorial assembly of these subunits influences substrate specificity, subcellular localization, and responses to pharmacological agents, thereby opening up opportunities for more precise therapeutic interventions that selectively target AMPKα2-containing complexes in specific tissues such as skeletal muscle and liver (mestareehi2021proteinphosphatase2a pages 229-232, ovens2021posttranslationalmodificationsof pages 20-21).</w:t>
      </w:r>
    </w:p>
    <w:p>
      <w:pPr>
        <w:pStyle w:val="BodyText"/>
      </w:pPr>
      <w:r>
        <w:t xml:space="preserve">Recent studies also underscore the importance of post-translational modifications—beyond the well-documented phosphorylation of Thr172—in fine-tuning AMPKα2 activity. Modifications including ubiquitination, sumoylation, acetylation, and redox-based modifications are being actively explored for their potential roles in regulating enzyme activity, stability, and interactions with other cellular proteins (ovens2021posttranslationalmodificationsof pages 16-18, mohanty2025rethinkingampka pages 15-16).</w:t>
      </w:r>
    </w:p>
    <w:p>
      <w:pPr>
        <w:pStyle w:val="BodyText"/>
      </w:pPr>
      <w:r>
        <w:t xml:space="preserve">In addition, dysregulation of AMPKα2 has been associated with endocrine resistance in certain breast cancer models as well as with metabolic derangements observed in various disease states. Thus, understanding the nuanced regulatory mechanisms of AMPKα2 and its isoform-specific functions remains a critical area for ongoing research, with the potential to yield novel insights that can be exploited therapeutically in diseases related to energy imbalance (ertefai2016resistancemechanismsduring pages 313-321, mestareehi2021proteinphosphatase2a pages 89-93).</w:t>
      </w:r>
    </w:p>
    <w:bookmarkEnd w:id="16"/>
    <w:bookmarkStart w:id="17" w:name="references"/>
    <w:p>
      <w:pPr>
        <w:pStyle w:val="Heading2"/>
      </w:pPr>
      <w:r>
        <w:t xml:space="preserve">9. References</w:t>
      </w:r>
    </w:p>
    <w:p>
      <w:pPr>
        <w:pStyle w:val="Compact"/>
        <w:numPr>
          <w:ilvl w:val="0"/>
          <w:numId w:val="1001"/>
        </w:numPr>
      </w:pPr>
      <w:r>
        <w:t xml:space="preserve">arkwright2015lessonsfromnature pages 3-4</w:t>
      </w:r>
      <w:r>
        <w:br/>
      </w:r>
    </w:p>
    <w:p>
      <w:pPr>
        <w:pStyle w:val="Compact"/>
        <w:numPr>
          <w:ilvl w:val="0"/>
          <w:numId w:val="1001"/>
        </w:numPr>
      </w:pPr>
      <w:r>
        <w:t xml:space="preserve">dasgupta2016evolvinglessonson pages 1-2</w:t>
      </w:r>
      <w:r>
        <w:br/>
      </w:r>
    </w:p>
    <w:p>
      <w:pPr>
        <w:pStyle w:val="Compact"/>
        <w:numPr>
          <w:ilvl w:val="0"/>
          <w:numId w:val="1001"/>
        </w:numPr>
      </w:pPr>
      <w:r>
        <w:t xml:space="preserve">dasgupta2016evolvinglessonson pages 4-6</w:t>
      </w:r>
      <w:r>
        <w:br/>
      </w:r>
    </w:p>
    <w:p>
      <w:pPr>
        <w:pStyle w:val="Compact"/>
        <w:numPr>
          <w:ilvl w:val="0"/>
          <w:numId w:val="1001"/>
        </w:numPr>
      </w:pPr>
      <w:r>
        <w:t xml:space="preserve">ertefai2016resistancemechanismsduring pages 309-313</w:t>
      </w:r>
      <w:r>
        <w:br/>
      </w:r>
    </w:p>
    <w:p>
      <w:pPr>
        <w:pStyle w:val="Compact"/>
        <w:numPr>
          <w:ilvl w:val="0"/>
          <w:numId w:val="1001"/>
        </w:numPr>
      </w:pPr>
      <w:r>
        <w:t xml:space="preserve">ertefai2016resistancemechanismsduring pages 313-321</w:t>
      </w:r>
      <w:r>
        <w:br/>
      </w:r>
    </w:p>
    <w:p>
      <w:pPr>
        <w:pStyle w:val="Compact"/>
        <w:numPr>
          <w:ilvl w:val="0"/>
          <w:numId w:val="1001"/>
        </w:numPr>
      </w:pPr>
      <w:r>
        <w:t xml:space="preserve">hadzimustafic2020bioenergeticimplicationsof pages 28-33</w:t>
      </w:r>
      <w:r>
        <w:br/>
      </w:r>
    </w:p>
    <w:p>
      <w:pPr>
        <w:pStyle w:val="Compact"/>
        <w:numPr>
          <w:ilvl w:val="0"/>
          <w:numId w:val="1001"/>
        </w:numPr>
      </w:pPr>
      <w:r>
        <w:t xml:space="preserve">hawley2023bay3827andsbi0206965 pages 1-2</w:t>
      </w:r>
      <w:r>
        <w:br/>
      </w:r>
    </w:p>
    <w:p>
      <w:pPr>
        <w:pStyle w:val="Compact"/>
        <w:numPr>
          <w:ilvl w:val="0"/>
          <w:numId w:val="1001"/>
        </w:numPr>
      </w:pPr>
      <w:r>
        <w:t xml:space="preserve">hawley2023bay3827andsbi0206965 pages 12-13</w:t>
      </w:r>
      <w:r>
        <w:br/>
      </w:r>
    </w:p>
    <w:p>
      <w:pPr>
        <w:pStyle w:val="Compact"/>
        <w:numPr>
          <w:ilvl w:val="0"/>
          <w:numId w:val="1001"/>
        </w:numPr>
      </w:pPr>
      <w:r>
        <w:t xml:space="preserve">hawley2023bay3827andsbi0206965 pages 13-15</w:t>
      </w:r>
      <w:r>
        <w:br/>
      </w:r>
    </w:p>
    <w:p>
      <w:pPr>
        <w:pStyle w:val="Compact"/>
        <w:numPr>
          <w:ilvl w:val="0"/>
          <w:numId w:val="1001"/>
        </w:numPr>
      </w:pPr>
      <w:r>
        <w:t xml:space="preserve">hawley2023bay3827andsbi0206965 pages 18-19</w:t>
      </w:r>
      <w:r>
        <w:br/>
      </w:r>
    </w:p>
    <w:p>
      <w:pPr>
        <w:pStyle w:val="Compact"/>
        <w:numPr>
          <w:ilvl w:val="0"/>
          <w:numId w:val="1001"/>
        </w:numPr>
      </w:pPr>
      <w:r>
        <w:t xml:space="preserve">hawley2023bay3827andsbi0206965 pages 19-20</w:t>
      </w:r>
      <w:r>
        <w:br/>
      </w:r>
    </w:p>
    <w:p>
      <w:pPr>
        <w:pStyle w:val="Compact"/>
        <w:numPr>
          <w:ilvl w:val="0"/>
          <w:numId w:val="1001"/>
        </w:numPr>
      </w:pPr>
      <w:r>
        <w:t xml:space="preserve">jain2018studyingampkin pages 1-3</w:t>
      </w:r>
      <w:r>
        <w:br/>
      </w:r>
    </w:p>
    <w:p>
      <w:pPr>
        <w:pStyle w:val="Compact"/>
        <w:numPr>
          <w:ilvl w:val="0"/>
          <w:numId w:val="1001"/>
        </w:numPr>
      </w:pPr>
      <w:r>
        <w:t xml:space="preserve">lin2018ampksensingglucose pages 3-4</w:t>
      </w:r>
      <w:r>
        <w:br/>
      </w:r>
    </w:p>
    <w:p>
      <w:pPr>
        <w:pStyle w:val="Compact"/>
        <w:numPr>
          <w:ilvl w:val="0"/>
          <w:numId w:val="1001"/>
        </w:numPr>
      </w:pPr>
      <w:r>
        <w:t xml:space="preserve">mestareehi2021proteinphosphatase2a pages 221-225</w:t>
      </w:r>
      <w:r>
        <w:br/>
      </w:r>
    </w:p>
    <w:p>
      <w:pPr>
        <w:pStyle w:val="Compact"/>
        <w:numPr>
          <w:ilvl w:val="0"/>
          <w:numId w:val="1001"/>
        </w:numPr>
      </w:pPr>
      <w:r>
        <w:t xml:space="preserve">mestareehi2021proteinphosphatase2a pages 225-229</w:t>
      </w:r>
      <w:r>
        <w:br/>
      </w:r>
    </w:p>
    <w:p>
      <w:pPr>
        <w:pStyle w:val="Compact"/>
        <w:numPr>
          <w:ilvl w:val="0"/>
          <w:numId w:val="1001"/>
        </w:numPr>
      </w:pPr>
      <w:r>
        <w:t xml:space="preserve">mestareehi2021proteinphosphatase2a pages 229-232</w:t>
      </w:r>
      <w:r>
        <w:br/>
      </w:r>
    </w:p>
    <w:p>
      <w:pPr>
        <w:pStyle w:val="Compact"/>
        <w:numPr>
          <w:ilvl w:val="0"/>
          <w:numId w:val="1001"/>
        </w:numPr>
      </w:pPr>
      <w:r>
        <w:t xml:space="preserve">mestareehi2021proteinphosphatase2a pages 89-93</w:t>
      </w:r>
      <w:r>
        <w:br/>
      </w:r>
    </w:p>
    <w:p>
      <w:pPr>
        <w:pStyle w:val="Compact"/>
        <w:numPr>
          <w:ilvl w:val="0"/>
          <w:numId w:val="1001"/>
        </w:numPr>
      </w:pPr>
      <w:r>
        <w:t xml:space="preserve">mohanty2025rethinkingampka pages 1-2</w:t>
      </w:r>
      <w:r>
        <w:br/>
      </w:r>
    </w:p>
    <w:p>
      <w:pPr>
        <w:pStyle w:val="Compact"/>
        <w:numPr>
          <w:ilvl w:val="0"/>
          <w:numId w:val="1001"/>
        </w:numPr>
      </w:pPr>
      <w:r>
        <w:t xml:space="preserve">mohanty2025rethinkingampka pages 15-16</w:t>
      </w:r>
      <w:r>
        <w:br/>
      </w:r>
    </w:p>
    <w:p>
      <w:pPr>
        <w:pStyle w:val="Compact"/>
        <w:numPr>
          <w:ilvl w:val="0"/>
          <w:numId w:val="1001"/>
        </w:numPr>
      </w:pPr>
      <w:r>
        <w:t xml:space="preserve">ovens2021posttranslationalmodificationsof pages 10-11</w:t>
      </w:r>
      <w:r>
        <w:br/>
      </w:r>
    </w:p>
    <w:p>
      <w:pPr>
        <w:pStyle w:val="Compact"/>
        <w:numPr>
          <w:ilvl w:val="0"/>
          <w:numId w:val="1001"/>
        </w:numPr>
      </w:pPr>
      <w:r>
        <w:t xml:space="preserve">ovens2021posttranslationalmodificationsof pages 16-18</w:t>
      </w:r>
      <w:r>
        <w:br/>
      </w:r>
    </w:p>
    <w:p>
      <w:pPr>
        <w:pStyle w:val="Compact"/>
        <w:numPr>
          <w:ilvl w:val="0"/>
          <w:numId w:val="1001"/>
        </w:numPr>
      </w:pPr>
      <w:r>
        <w:t xml:space="preserve">ovens2021posttranslationalmodificationsof pages 2-5</w:t>
      </w:r>
      <w:r>
        <w:br/>
      </w:r>
    </w:p>
    <w:p>
      <w:pPr>
        <w:pStyle w:val="Compact"/>
        <w:numPr>
          <w:ilvl w:val="0"/>
          <w:numId w:val="1001"/>
        </w:numPr>
      </w:pPr>
      <w:r>
        <w:t xml:space="preserve">ovens2021posttranslationalmodificationsof pages 20-21</w:t>
      </w:r>
      <w:r>
        <w:br/>
      </w:r>
    </w:p>
    <w:p>
      <w:pPr>
        <w:pStyle w:val="Compact"/>
        <w:numPr>
          <w:ilvl w:val="0"/>
          <w:numId w:val="1001"/>
        </w:numPr>
      </w:pPr>
      <w:r>
        <w:t xml:space="preserve">ovens2021posttranslationalmodificationsof pages 21-22</w:t>
      </w:r>
      <w:r>
        <w:br/>
      </w:r>
    </w:p>
    <w:p>
      <w:pPr>
        <w:pStyle w:val="Compact"/>
        <w:numPr>
          <w:ilvl w:val="0"/>
          <w:numId w:val="1001"/>
        </w:numPr>
      </w:pPr>
      <w:r>
        <w:t xml:space="preserve">ovens2021posttranslationalmodificationsof pages 5-6</w:t>
      </w:r>
      <w:r>
        <w:br/>
      </w:r>
    </w:p>
    <w:p>
      <w:pPr>
        <w:pStyle w:val="Compact"/>
        <w:numPr>
          <w:ilvl w:val="0"/>
          <w:numId w:val="1001"/>
        </w:numPr>
      </w:pPr>
      <w:r>
        <w:t xml:space="preserve">ovens2021posttranslationalmodificationsof pages 6-7</w:t>
      </w:r>
      <w:r>
        <w:br/>
      </w:r>
    </w:p>
    <w:p>
      <w:pPr>
        <w:pStyle w:val="Compact"/>
        <w:numPr>
          <w:ilvl w:val="0"/>
          <w:numId w:val="1001"/>
        </w:numPr>
      </w:pPr>
      <w:r>
        <w:t xml:space="preserve">ovens2021posttranslationalmodificationsof pages 7-9</w:t>
      </w:r>
      <w:r>
        <w:br/>
      </w:r>
    </w:p>
    <w:p>
      <w:pPr>
        <w:pStyle w:val="Compact"/>
        <w:numPr>
          <w:ilvl w:val="0"/>
          <w:numId w:val="1001"/>
        </w:numPr>
      </w:pPr>
      <w:r>
        <w:t xml:space="preserve">ovens2021posttranslationalmodificationsof pages 9-10</w:t>
      </w:r>
      <w:r>
        <w:br/>
      </w:r>
    </w:p>
    <w:p>
      <w:pPr>
        <w:pStyle w:val="Compact"/>
        <w:numPr>
          <w:ilvl w:val="0"/>
          <w:numId w:val="1001"/>
        </w:numPr>
      </w:pPr>
      <w:r>
        <w:t xml:space="preserve">phadke2015chemicalmodulationof pages 83-87</w:t>
      </w:r>
      <w:r>
        <w:br/>
      </w:r>
    </w:p>
    <w:p>
      <w:pPr>
        <w:pStyle w:val="Compact"/>
        <w:numPr>
          <w:ilvl w:val="0"/>
          <w:numId w:val="1001"/>
        </w:numPr>
      </w:pPr>
      <w:r>
        <w:t xml:space="preserve">phadke2015chemicalmodulationof pages 96-100</w:t>
      </w:r>
    </w:p>
    <w:p>
      <w:pPr>
        <w:pStyle w:val="FirstParagraph"/>
      </w:pPr>
      <w:r>
        <w:t xml:space="preserve">References</w:t>
      </w:r>
    </w:p>
    <w:p>
      <w:pPr>
        <w:numPr>
          <w:ilvl w:val="0"/>
          <w:numId w:val="1002"/>
        </w:numPr>
      </w:pPr>
      <w:r>
        <w:t xml:space="preserve">(arkwright2015lessonsfromnature pages 3-4): Richard Arkwright, Rahul Deshmukh, Nikhil Adapa, Ryan Stevens, Emily Zonder, Zhongyu Zhang, Pershang Farshi, Reda Ahmed, Hossny El-Banna, Tak-Hang Chan, and Q. Dou. Lessons from nature: sources and strategies for developing ampk activators for cancer chemotherapeutics. Anti-cancer agents in medicinal chemistry, 15 5:657-71, May 2015. URL: https://doi.org/10.2174/1871520615666141216145417, doi:10.2174/1871520615666141216145417. This article has 14 citations and is from a peer-reviewed journal.</w:t>
      </w:r>
    </w:p>
    <w:p>
      <w:pPr>
        <w:numPr>
          <w:ilvl w:val="0"/>
          <w:numId w:val="1002"/>
        </w:numPr>
      </w:pPr>
      <w:r>
        <w:t xml:space="preserve">(dasgupta2016evolvinglessonson pages 1-2): Biplab Dasgupta and Rishi Raj Chhipa. Evolving lessons on the complex role of ampk in normal physiology and cancer. Trends in Pharmacological Sciences, 37:192-206, Mar 2016. URL: https://doi.org/10.1016/j.tips.2015.11.007, doi:10.1016/j.tips.2015.11.007. This article has 140 citations and is from a highest quality peer-reviewed journal.</w:t>
      </w:r>
    </w:p>
    <w:p>
      <w:pPr>
        <w:numPr>
          <w:ilvl w:val="0"/>
          <w:numId w:val="1002"/>
        </w:numPr>
      </w:pPr>
      <w:r>
        <w:t xml:space="preserve">(dasgupta2016evolvinglessonson pages 11-12): Biplab Dasgupta and Rishi Raj Chhipa. Evolving lessons on the complex role of ampk in normal physiology and cancer. Trends in Pharmacological Sciences, 37:192-206, Mar 2016. URL: https://doi.org/10.1016/j.tips.2015.11.007, doi:10.1016/j.tips.2015.11.007. This article has 140 citations and is from a highest quality peer-reviewed journal.</w:t>
      </w:r>
    </w:p>
    <w:p>
      <w:pPr>
        <w:numPr>
          <w:ilvl w:val="0"/>
          <w:numId w:val="1002"/>
        </w:numPr>
      </w:pPr>
      <w:r>
        <w:t xml:space="preserve">(dasgupta2016evolvinglessonson pages 4-6): Biplab Dasgupta and Rishi Raj Chhipa. Evolving lessons on the complex role of ampk in normal physiology and cancer. Trends in Pharmacological Sciences, 37:192-206, Mar 2016. URL: https://doi.org/10.1016/j.tips.2015.11.007, doi:10.1016/j.tips.2015.11.007. This article has 140 citations and is from a highest quality peer-reviewed journal.</w:t>
      </w:r>
    </w:p>
    <w:p>
      <w:pPr>
        <w:numPr>
          <w:ilvl w:val="0"/>
          <w:numId w:val="1002"/>
        </w:numPr>
      </w:pPr>
      <w:r>
        <w:t xml:space="preserve">(ertefai2016resistancemechanismsduring pages 309-313): B Ertefai. Resistance mechanisms during endocrine treatment in breast cancer. Unknown journal, 2016.</w:t>
      </w:r>
    </w:p>
    <w:p>
      <w:pPr>
        <w:numPr>
          <w:ilvl w:val="0"/>
          <w:numId w:val="1002"/>
        </w:numPr>
      </w:pPr>
      <w:r>
        <w:t xml:space="preserve">(ertefai2016resistancemechanismsduring pages 313-321): B Ertefai. Resistance mechanisms during endocrine treatment in breast cancer. Unknown journal, 2016.</w:t>
      </w:r>
    </w:p>
    <w:p>
      <w:pPr>
        <w:numPr>
          <w:ilvl w:val="0"/>
          <w:numId w:val="1002"/>
        </w:numPr>
      </w:pPr>
      <w:r>
        <w:t xml:space="preserve">(hadzimustafic2020bioenergeticimplicationsof pages 28-33): Nina Hadzimustafic. Bioenergetic implications of the ampkg3 r225w mutation in human muscle. Unknown journal, Aug 2020. URL: https://doi.org/10.20381/ruor-25051, doi:10.20381/ruor-25051. This article has 0 citations.</w:t>
      </w:r>
    </w:p>
    <w:p>
      <w:pPr>
        <w:numPr>
          <w:ilvl w:val="0"/>
          <w:numId w:val="1002"/>
        </w:numPr>
      </w:pPr>
      <w:r>
        <w:t xml:space="preserve">(hawley2023bay3827andsbi0206965 pages 1-2): Simon A. Hawley, Fiona M. Russell, Fiona A. Ross, and D. Grahame Hardie. Bay-3827 and sbi-0206965: potent ampk inhibitors that paradoxically increase thr172 phosphorylation. International Journal of Molecular Sciences, 25:453, Dec 2023. URL: https://doi.org/10.3390/ijms25010453, doi:10.3390/ijms25010453. This article has 9 citations and is from a peer-reviewed journal.</w:t>
      </w:r>
    </w:p>
    <w:p>
      <w:pPr>
        <w:numPr>
          <w:ilvl w:val="0"/>
          <w:numId w:val="1002"/>
        </w:numPr>
      </w:pPr>
      <w:r>
        <w:t xml:space="preserve">(hawley2023bay3827andsbi0206965 pages 12-13): Simon A. Hawley, Fiona M. Russell, Fiona A. Ross, and D. Grahame Hardie. Bay-3827 and sbi-0206965: potent ampk inhibitors that paradoxically increase thr172 phosphorylation. International Journal of Molecular Sciences, 25:453, Dec 2023. URL: https://doi.org/10.3390/ijms25010453, doi:10.3390/ijms25010453. This article has 9 citations and is from a peer-reviewed journal.</w:t>
      </w:r>
    </w:p>
    <w:p>
      <w:pPr>
        <w:numPr>
          <w:ilvl w:val="0"/>
          <w:numId w:val="1002"/>
        </w:numPr>
      </w:pPr>
      <w:r>
        <w:t xml:space="preserve">(hawley2023bay3827andsbi0206965 pages 13-15): Simon A. Hawley, Fiona M. Russell, Fiona A. Ross, and D. Grahame Hardie. Bay-3827 and sbi-0206965: potent ampk inhibitors that paradoxically increase thr172 phosphorylation. International Journal of Molecular Sciences, 25:453, Dec 2023. URL: https://doi.org/10.3390/ijms25010453, doi:10.3390/ijms25010453. This article has 9 citations and is from a peer-reviewed journal.</w:t>
      </w:r>
    </w:p>
    <w:p>
      <w:pPr>
        <w:numPr>
          <w:ilvl w:val="0"/>
          <w:numId w:val="1002"/>
        </w:numPr>
      </w:pPr>
      <w:r>
        <w:t xml:space="preserve">(hawley2023bay3827andsbi0206965 pages 18-19): Simon A. Hawley, Fiona M. Russell, Fiona A. Ross, and D. Grahame Hardie. Bay-3827 and sbi-0206965: potent ampk inhibitors that paradoxically increase thr172 phosphorylation. International Journal of Molecular Sciences, 25:453, Dec 2023. URL: https://doi.org/10.3390/ijms25010453, doi:10.3390/ijms25010453. This article has 9 citations and is from a peer-reviewed journal.</w:t>
      </w:r>
    </w:p>
    <w:p>
      <w:pPr>
        <w:numPr>
          <w:ilvl w:val="0"/>
          <w:numId w:val="1002"/>
        </w:numPr>
      </w:pPr>
      <w:r>
        <w:t xml:space="preserve">(hawley2023bay3827andsbi0206965 pages 19-20): Simon A. Hawley, Fiona M. Russell, Fiona A. Ross, and D. Grahame Hardie. Bay-3827 and sbi-0206965: potent ampk inhibitors that paradoxically increase thr172 phosphorylation. International Journal of Molecular Sciences, 25:453, Dec 2023. URL: https://doi.org/10.3390/ijms25010453, doi:10.3390/ijms25010453. This article has 9 citations and is from a peer-reviewed journal.</w:t>
      </w:r>
    </w:p>
    <w:p>
      <w:pPr>
        <w:numPr>
          <w:ilvl w:val="0"/>
          <w:numId w:val="1002"/>
        </w:numPr>
      </w:pPr>
      <w:r>
        <w:t xml:space="preserve">(jain2018studyingampkin pages 1-3): Arpit Jain, Valentin Roustan, Wolfram Weckwerth, and Ingo Ebersberger. Studying ampk in an evolutionary context. Methods in Molecular Biology, 1732:111-142, Jan 2018. URL: https://doi.org/10.1007/978-1-4939-7598-3_8, doi:10.1007/978-1-4939-7598-3_8. This article has 4 citations and is from a peer-reviewed journal.</w:t>
      </w:r>
    </w:p>
    <w:p>
      <w:pPr>
        <w:numPr>
          <w:ilvl w:val="0"/>
          <w:numId w:val="1002"/>
        </w:numPr>
      </w:pPr>
      <w:r>
        <w:t xml:space="preserve">(lin2018ampksensingglucose pages 3-4): Sheng-Cai Lin and D. Grahame Hardie. Ampk: sensing glucose as well as cellular energy status. Cell Metabolism, 27:299-313, Feb 2018. URL: https://doi.org/10.1016/j.cmet.2017.10.009, doi:10.1016/j.cmet.2017.10.009. This article has 1105 citations and is from a highest quality peer-reviewed journal.</w:t>
      </w:r>
    </w:p>
    <w:p>
      <w:pPr>
        <w:numPr>
          <w:ilvl w:val="0"/>
          <w:numId w:val="1002"/>
        </w:numPr>
      </w:pPr>
      <w:r>
        <w:t xml:space="preserve">(mestareehi2021proteinphosphatase2a pages 221-225): A Mestareehi. Protein phosphatase 2a in metformin’s action in primary human skeletal muscle cells. Unknown journal, 2021.</w:t>
      </w:r>
    </w:p>
    <w:p>
      <w:pPr>
        <w:numPr>
          <w:ilvl w:val="0"/>
          <w:numId w:val="1002"/>
        </w:numPr>
      </w:pPr>
      <w:r>
        <w:t xml:space="preserve">(mestareehi2021proteinphosphatase2a pages 225-229): A Mestareehi. Protein phosphatase 2a in metformin’s action in primary human skeletal muscle cells. Unknown journal, 2021.</w:t>
      </w:r>
    </w:p>
    <w:p>
      <w:pPr>
        <w:numPr>
          <w:ilvl w:val="0"/>
          <w:numId w:val="1002"/>
        </w:numPr>
      </w:pPr>
      <w:r>
        <w:t xml:space="preserve">(mestareehi2021proteinphosphatase2a pages 229-232): A Mestareehi. Protein phosphatase 2a in metformin’s action in primary human skeletal muscle cells. Unknown journal, 2021.</w:t>
      </w:r>
    </w:p>
    <w:p>
      <w:pPr>
        <w:numPr>
          <w:ilvl w:val="0"/>
          <w:numId w:val="1002"/>
        </w:numPr>
      </w:pPr>
      <w:r>
        <w:t xml:space="preserve">(mestareehi2021proteinphosphatase2a pages 89-93): A Mestareehi. Protein phosphatase 2a in metformin’s action in primary human skeletal muscle cells. Unknown journal, 2021.</w:t>
      </w:r>
    </w:p>
    <w:p>
      <w:pPr>
        <w:numPr>
          <w:ilvl w:val="0"/>
          <w:numId w:val="1002"/>
        </w:numPr>
      </w:pPr>
      <w:r>
        <w:t xml:space="preserve">(mohanty2025rethinkingampka pages 1-2): Shraddha S. Mohanty, Shweta Warrier, and Annapoorni Rangarajan. Rethinking ampk: a reversible switch fortifying cancer cell stress-resilience. The Yale Journal of Biology and Medicine, 98:33-52, Mar 2025. URL: https://doi.org/10.59249/jkbb6336, doi:10.59249/jkbb6336. This article has 0 citations.</w:t>
      </w:r>
    </w:p>
    <w:p>
      <w:pPr>
        <w:numPr>
          <w:ilvl w:val="0"/>
          <w:numId w:val="1002"/>
        </w:numPr>
      </w:pPr>
      <w:r>
        <w:t xml:space="preserve">(mohanty2025rethinkingampka pages 15-16): Shraddha S. Mohanty, Shweta Warrier, and Annapoorni Rangarajan. Rethinking ampk: a reversible switch fortifying cancer cell stress-resilience. The Yale Journal of Biology and Medicine, 98:33-52, Mar 2025. URL: https://doi.org/10.59249/jkbb6336, doi:10.59249/jkbb6336. This article has 0 citations.</w:t>
      </w:r>
    </w:p>
    <w:p>
      <w:pPr>
        <w:numPr>
          <w:ilvl w:val="0"/>
          <w:numId w:val="1002"/>
        </w:numPr>
      </w:pPr>
      <w:r>
        <w:t xml:space="preserve">(ovens2021posttranslationalmodificationsof pages 10-11):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16-18):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2-5):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20-21):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21-22):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5-6):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6-7):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7-9):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9-10):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(phadke2015chemicalmodulationof pages 83-87): SD Phadke. Chemical modulation of phospho-signaling pathways involved in cancer. Unknown journal, 2015.</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2025-05-22T19:23:08Z</dcterms:created>
  <dcterms:modified xsi:type="dcterms:W3CDTF">2025-05-22T19:23:08Z</dcterms:modified>
</cp:coreProperties>
</file>

<file path=docProps/custom.xml><?xml version="1.0" encoding="utf-8"?>
<Properties xmlns="http://schemas.openxmlformats.org/officeDocument/2006/custom-properties" xmlns:vt="http://schemas.openxmlformats.org/officeDocument/2006/docPropsVTypes"/>
</file>