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BRSK1 (also known as SAD-B) is a member of the AMPK‐related kinase (ARK) family that encompasses 14 evolutionarily conserved serine/threonine kinases. Within the kinome, BRSK1 belongs to the CAMKL subgroup and shows a high degree of conservation among vertebrates. Comparative phylogenetic analyses reveal that key cysteine residues that mediate redox regulation in BRSK1 are preserved across species, underscoring their adaptive importance in neuronal signaling contexts (bendzunas2024redoxregulationof pages 15-18, bendzunas2025redoxregulationand pages 2-3). In particular, the unique substitution in the canonical APE motif—where an alanine is replaced by a cysteine (yielding a “CPE” motif)—appears to represent an evolutionarily restricted adaptation found in brain‐selective kinases, with almost no equivalents found among other eukaryotic protein kinases outside this subgroup (bendzunas2024redoxregulationof pages 26-30, bendzunas2025redoxregulationand pages 15-17). Moreover, the close paralog BRSK2 shares approximately 95% identity in its kinase domain with BRSK1, and both orthologs are traceable back to a common ancestral gene present in the early metazoans, indicating that these kinases form part of an evolutionarily ancient signaling module critical for neuronal polarity and cellular metabolic regulation (bendzunas2024redoxregulationof pages 37-45, bendzunas2025redoxregulationand pages 19-21).</w:t>
      </w:r>
    </w:p>
    <w:p>
      <w:pPr>
        <w:numPr>
          <w:ilvl w:val="0"/>
          <w:numId w:val="1001"/>
        </w:numPr>
      </w:pPr>
      <w:r>
        <w:t xml:space="preserve">Reaction Catalyzed</w:t>
      </w:r>
      <w:r>
        <w:br/>
      </w:r>
      <w:r>
        <w:t xml:space="preserve">BRSK1 functions as a serine/threonine-protein kinase that catalyzes the transfer of a phosphate group from ATP to specific serine or threonine residues on target substrate proteins. The general chemical reaction catalyzed by BRSK1 can be summarized as:</w:t>
      </w:r>
      <w:r>
        <w:br/>
      </w:r>
      <w:r>
        <w:t xml:space="preserve">  ATP + [protein]-(L-serine/threonine) → ADP + [protein]-(phospho-L-serine/threonine) + H⁺</w:t>
      </w:r>
      <w:r>
        <w:br/>
      </w:r>
      <w:r>
        <w:t xml:space="preserve">This phosphorylation event is critical for modifying the activity, localization, or interaction potential of substrates involved in neuronal polarization, centrosome duplication, and cell cycle regulation (bendzunas2024redoxregulationof pages 51-58). Specifically, BRSK1 phosphorylates substrates such as MAPT/TAU, CDC25B, CDC25C, WEE1, RIMS1, and gamma-tubulin isoforms (TUBG1 and TUBG2). Each phosphorylation event contributes to a distinct cellular process; for example, phosphorylation of MAPT/TAU modulates microtubule dynamics in neurons, while phosphorylation of CDC25 phosphatases and WEE1 impacts cell cycle checkpoints and centrosome function (bendzunas2024redoxregulationof pages 58-65, kamireddy2020aquantitativephosphoproteomics pages 37-42).</w:t>
      </w:r>
    </w:p>
    <w:p>
      <w:pPr>
        <w:numPr>
          <w:ilvl w:val="0"/>
          <w:numId w:val="1001"/>
        </w:numPr>
      </w:pPr>
      <w:r>
        <w:t xml:space="preserve">Cofactor Requirements</w:t>
      </w:r>
      <w:r>
        <w:br/>
      </w:r>
      <w:r>
        <w:t xml:space="preserve">As with most protein kinases, the catalytic activity of BRSK1 depends on the presence of magnesium ions. Mg²⁺ acts as a crucial cofactor by facilitating the coordination of the ATP molecule within the active site, thereby stabilizing the transition state during the phosphoryl transfer (bendzunas2024redoxregulationof pages 51-58). Additionally, ATP is required as the phosphate donor in the phosphorylation reaction. While specific studies regarding potential accessory cofactors beyond Mg²⁺ and ATP are limited in the current context, the known dependency mirrors that of other serine/threonine kinases belonging to the AMPK-related kinase family (bendzunas2025redoxregulationand pages 2-3).</w:t>
      </w:r>
    </w:p>
    <w:p>
      <w:pPr>
        <w:numPr>
          <w:ilvl w:val="0"/>
          <w:numId w:val="1001"/>
        </w:numPr>
      </w:pPr>
      <w:r>
        <w:t xml:space="preserve">Substrate Specificity</w:t>
      </w:r>
      <w:r>
        <w:br/>
      </w:r>
      <w:r>
        <w:t xml:space="preserve">BRSK1 demonstrates specificity for substrates that play key roles in neuronal structure and cell cycle regulation. Known physiological substrates include:</w:t>
      </w:r>
      <w:r>
        <w:br/>
      </w:r>
      <w:r>
        <w:t xml:space="preserve"> • MAPT/TAU, where phosphorylation at residues such as Thr-529 and Ser-579 influences microtubule stability and neuronal polarity;</w:t>
      </w:r>
      <w:r>
        <w:br/>
      </w:r>
      <w:r>
        <w:t xml:space="preserve"> • CDC25B and CDC25C, whose phosphorylation leads to their inhibition and consequent checkpoint regulation;</w:t>
      </w:r>
      <w:r>
        <w:br/>
      </w:r>
      <w:r>
        <w:t xml:space="preserve"> • WEE1, where phosphorylation at Ser-642 downregulates its activity, thereby influencing the transition to a polarized neuronal state;</w:t>
      </w:r>
      <w:r>
        <w:br/>
      </w:r>
      <w:r>
        <w:t xml:space="preserve"> • RIMS1, which is implicated in the regulation of neurotransmitter release through phosphorylation;</w:t>
      </w:r>
      <w:r>
        <w:br/>
      </w:r>
      <w:r>
        <w:t xml:space="preserve"> • Gamma-tubulin isoforms (TUBG1 and TUBG2), with phosphorylation at Ser-131 promoting the recruitment of gamma-tubulin complexes to the centrosome (bendzunas2024redoxregulationof pages 15-18, bendzunas2025redoxregulationand pages 17-18).</w:t>
      </w:r>
      <w:r>
        <w:br/>
      </w:r>
      <w:r>
        <w:t xml:space="preserve">The kinase appears to target sequences within its substrates that either conform to a modest consensus or are defined by the structural context provided by their interaction interfaces. Although an explicit consensus substrate motif has not been delineated in the provided context, the substrates often contain regulatory serine/threonine residues positioned in regions that are accessible for phosphorylation following conformational changes induced by upstream regulatory signals (tamir2020gainoffunctiongeneticscreen pages 8-9).</w:t>
      </w:r>
    </w:p>
    <w:p>
      <w:pPr>
        <w:numPr>
          <w:ilvl w:val="0"/>
          <w:numId w:val="1001"/>
        </w:numPr>
      </w:pPr>
      <w:r>
        <w:t xml:space="preserve">Structure</w:t>
      </w:r>
      <w:r>
        <w:br/>
      </w:r>
      <w:r>
        <w:t xml:space="preserve">BRSK1 is characterized by a modular domain architecture typical of AMPK-related kinases. The primary structure includes an N-terminal serine/threonine kinase catalytic domain, which spans approximately residues 29 to 358. This domain is responsible for the catalytic activity and contains several highly conserved motifs, including the HRD motif in the catalytic loop, the DFG motif for ATP binding, and an activation loop (T-loop) that requires phosphorylation by LKB1 for full enzymatic activity (bendzunas2024redoxregulationof pages 51-58, bendzunas2025redoxregulationand pages 3-5).</w:t>
      </w:r>
      <w:r>
        <w:br/>
      </w:r>
      <w:r>
        <w:t xml:space="preserve">Downstream of the kinase domain, BRSK1 contains additional regulatory domains:</w:t>
      </w:r>
      <w:r>
        <w:br/>
      </w:r>
      <w:r>
        <w:t xml:space="preserve"> • A ubiquitin-associated (UBA) domain, which may participate in protein–protein interactions and potentially regulate substrate recognition;</w:t>
      </w:r>
      <w:r>
        <w:br/>
      </w:r>
      <w:r>
        <w:t xml:space="preserve"> • A proline-rich region (PRR) that could provide docking sites for SH3 domain-containing proteins;</w:t>
      </w:r>
      <w:r>
        <w:br/>
      </w:r>
      <w:r>
        <w:t xml:space="preserve"> • A kinase-associated domain (KA1) that is sometimes implicated in autoinhibitory interactions and subcellular localization.</w:t>
      </w:r>
      <w:r>
        <w:br/>
      </w:r>
      <w:r>
        <w:t xml:space="preserve">One of the unique structural features of BRSK1, as compared with other eukaryotic protein kinases, is the presence of redox-sensitive cysteine residues. Mass spectrometric analyses have confirmed the formation of intramolecular disulfide bonds between cysteine pairs C147-C153 and C191-C198 within the kinase domain. These bonds are strategically positioned near key regulatory motifs: the C147-C153 pair links the HRD motif region to neighboring structural elements, while the C191-C198 pair involves a T-loop +2 cysteine that forms a disulfide with a cysteine in the uniquely configured CPE (replacing the canonical APE) motif (bendzunas2024redoxregulationof pages 15-18, bendzunas2024redoxregulationof pages 3-7).</w:t>
      </w:r>
      <w:r>
        <w:br/>
      </w:r>
      <w:r>
        <w:t xml:space="preserve">Structural modeling using AlphaFold and molecular dynamics simulations support the notion that these disulfide bonds are not only critical for maintaining structural stability but also serve as reversible switches that regulate kinase activity in response to redox conditions in the cell (bendzunas2025redoxregulationand pages 14-15, bendzunas2025redoxregulationand pages 7-9). Although high-resolution crystallographic data for BRSK1 are not yet available, the integration of proteomic, biochemical, and computational data has provided a robust model for understanding the domain organization and redox regulation of BRSK1’s catalytic core (bendzunas2025redoxregulationand pages 3-5, koduri2024proteinkinasec pages 1-8).</w:t>
      </w:r>
    </w:p>
    <w:p>
      <w:pPr>
        <w:numPr>
          <w:ilvl w:val="0"/>
          <w:numId w:val="1001"/>
        </w:numPr>
      </w:pPr>
      <w:r>
        <w:t xml:space="preserve">Regulation</w:t>
      </w:r>
      <w:r>
        <w:br/>
      </w:r>
      <w:r>
        <w:t xml:space="preserve">The activity of BRSK1 is controlled by a combination of phosphorylation-dependent and redox-sensitive mechanisms. Full activation of BRSK1 requires phosphorylation at a conserved threonine residue within the activation loop by the upstream kinase LKB1, which is a master regulator of AMPK-related kinases (bendzunas2025redoxregulationand pages 2-3, kamireddy2020aquantitativephosphoproteomics pages 37-42). This LKB1-mediated phosphorylation primes BRSK1 for substrate phosphorylation and is a critical regulatory step that can be modulated by other cellular signals.</w:t>
      </w:r>
      <w:r>
        <w:br/>
      </w:r>
      <w:r>
        <w:t xml:space="preserve">In parallel to phosphorylation, BRSK1 is subject to regulation via cysteine-based redox modifications. Distinct cysteine residues in the kinase domain, notably within the T-loop and proximal to the HRD catalytic motif, undergo reversible oxidation-reduction cycles. The oxidation leads to the formation of intramolecular disulfide bonds (e.g., C147-C153 and C191-C198) that can either inhibit or modulate catalytic activity based on the redox state of the cell (bendzunas2024redoxregulationof pages 15-18, bendzunas2025redoxregulationand pages 14-15). Experimental data have shown that treatment with reducing agents such as dithiothreitol (DTT) can reverse the inhibitory effects of oxidative stress, thereby reactivating kinase function. Conversely, oxidizing agents like hydrogen peroxide (H₂O₂) inhibit BRSK1 activity by promoting disulfide bond formation and other oxidative modifications such as glutathionylation (bendzunas2024redoxregulationof pages 51-58, bendzunas2024redoxregulationof pages 58-65).</w:t>
      </w:r>
      <w:r>
        <w:br/>
      </w:r>
      <w:r>
        <w:t xml:space="preserve">Thus, BRSK1 exhibits a dual-layer regulation: phosphorylation by LKB1 establishes an “on” state, while the redox state fine-tunes activity via covalent oxidation of specific cysteine residues. This redox control may serve as a protective mechanism against hyperactivation under conditions of oxidative stress and may also rapidly relay changes in cellular metabolism into adjustments of kinase activity (bendzunas2025redoxregulationand pages 15-17, bendzunas2025redoxregulationand pages 19-21).</w:t>
      </w:r>
    </w:p>
    <w:p>
      <w:pPr>
        <w:numPr>
          <w:ilvl w:val="0"/>
          <w:numId w:val="1001"/>
        </w:numPr>
      </w:pPr>
      <w:r>
        <w:t xml:space="preserve">Function</w:t>
      </w:r>
      <w:r>
        <w:br/>
      </w:r>
      <w:r>
        <w:t xml:space="preserve">BRSK1 plays several critical roles in neuronal cellular physiology and cell cycle regulation. Its brain-selective expression underlines its importance in neurodevelopment and maintenance of neuronal polarity. In cortical neurons, BRSK1 is involved in the polarization process by phosphorylating substrates such as MAPT/TAU at key residues (Thr-529 and Ser-579), which modulate microtubule dynamics and contribute to the development of the neuronal axon–dendrite axis (bendzunas2024redoxregulationof pages 15-18, bendzunas2025redoxregulationand pages 17-18).</w:t>
      </w:r>
      <w:r>
        <w:br/>
      </w:r>
      <w:r>
        <w:t xml:space="preserve">Moreover, BRSK1 regulates centrosome duplication through the phosphorylation of gamma-tubulin isoforms (TUBG1 and TUBG2) at Ser-131. Phosphorylation of gamma-tubulin facilitates its translocation and assembly at the centrosome, thus promoting proper centrosome duplication and ensuring genomic stability during cell division (bendzunas2024redoxregulationof pages 58-65, bendzunas2025redoxregulationand pages 25-26).</w:t>
      </w:r>
      <w:r>
        <w:br/>
      </w:r>
      <w:r>
        <w:t xml:space="preserve">In addition to these functions, BRSK1 modulates cell cycle progression by phosphorylating cell cycle regulatory proteins such as CDC25B and CDC25C. By inhibiting these phosphatases, BRSK1 indirectly suppresses the activity of cyclin-dependent kinase 1 (CDK1), which is crucial for the transition from G2 to M phase. Along with phosphorylating WEE1 at Ser-642 to downregulate its inhibitory effects, BRSK1 helps integrate signals from DNA damage checkpoints, particularly in the context of UV-induced responses where it contributes to cell cycle arrest (bendzunas2024redoxregulationof pages 51-58, koduri2024proteinkinasec pages 13-21).</w:t>
      </w:r>
      <w:r>
        <w:br/>
      </w:r>
      <w:r>
        <w:t xml:space="preserve">Beyond its role in cell cycle control, BRSK1 is implicated in neurotransmitter release through the phosphorylation of RIMS1, a key component of the presynaptic release machinery. By modulating RIMS1 activity, BRSK1 may influence synaptic vesicle dynamics and neurotransmission, thus exerting a direct effect on overall neuronal communication and network stability (koduri2024proteinkinasec pages 1-8, tamir2020gainoffunctiongeneticscreen pages 8-9).</w:t>
      </w:r>
      <w:r>
        <w:br/>
      </w:r>
      <w:r>
        <w:t xml:space="preserve">Overall, BRSK1 functions as an integrator of signaling pathways involved in neuronal polarity, centrosome duplication, and cell cycle regulation, acting both through direct phosphorylation of structural proteins and via modulation of post-translational modifications that alter enzymatic activity in response to redox changes (bendzunas2024redoxregulationof pages 15-18, bendzunas2025redoxregulationand pages 19-21).</w:t>
      </w:r>
    </w:p>
    <w:p>
      <w:pPr>
        <w:numPr>
          <w:ilvl w:val="0"/>
          <w:numId w:val="1001"/>
        </w:numPr>
      </w:pPr>
      <w:r>
        <w:t xml:space="preserve">Other Comments</w:t>
      </w:r>
      <w:r>
        <w:br/>
      </w:r>
      <w:r>
        <w:t xml:space="preserve">Emerging evidence indicates that the redox-sensitive regulation of BRSK1, mediated by conserved cysteine residues, is a promising target for therapeutic intervention in neurological disorders where oxidative stress is implicated. While direct inhibitors specifically targeting BRSK1 have yet to be comprehensively developed, the study of its redox regulation provides potential avenues for pharmacological modulation. For example, compounds that selectively modulate the redox state of the kinase domain may restore or inhibit activity depending on the disease context (bendzunas2024redoxregulationof pages 26-30, bendzunas2025redoxregulationand pages 25-26).</w:t>
      </w:r>
      <w:r>
        <w:br/>
      </w:r>
      <w:r>
        <w:t xml:space="preserve">Furthermore, alterations in BRSK1 activity, whether through mutations in critical redox-regulatory cysteines or aberrant upstream activation by LKB1, may contribute to pathogenic processes in both neurodegeneration and cancer. Mutations that mimic constitutive oxidation or prevent proper disulfide formation could lead to either hyperactivation or inactivation, respectively, thus disrupting normal signaling cascades. Current research is actively exploring these mutation effects and the wider impact of redox control on AMPK-related kinases (bendzunas2025redoxregulationand pages 14-15, bendzunas2025redoxregulationand pages 17-18).</w:t>
      </w:r>
      <w:r>
        <w:br/>
      </w:r>
      <w:r>
        <w:t xml:space="preserve">Additionally, while substrates such as MAPT/TAU, CDC25 isoforms, WEE1, RIMS1, and gamma-tubulin have been identified as targets of BRSK1, further phosphoproteomic studies are underway to elucidate additional substrates and uncover novel regulatory circuits controlled by this kinase (kamireddy2020aquantitativephosphoproteomics pages 27-32, bendzunas2024redoxregulationof pages 12-15).</w:t>
      </w:r>
      <w:r>
        <w:br/>
      </w:r>
      <w:r>
        <w:t xml:space="preserve">The role of BRSK1 in diverse processes, ranging from neuronal development to cell cycle regulation, underscores its significance as a hub in signaling networks. Its precise subcellular localization to synaptic vesicles in neurons suggests specialized roles in neurotransmission, while its activity in centrosome regulation places it at a critical nexus between signaling and cell division (bendzunas2024redoxregulationof pages 58-65, koduri2024proteinkinasec pages 13-21).</w:t>
      </w:r>
      <w:r>
        <w:br/>
      </w:r>
      <w:r>
        <w:t xml:space="preserve">Finally, although BRSK1 has alternative names (SAD-B, Brain-selective kinase 1) and is sometimes grouped with its paralog BRSK2 for functional studies, subtle differences in their catalytic efficiency and regulatory inputs (e.g., differences in sensitivity to LKB1 phosphorylation and redox agents) indicate that they have overlapping yet distinct physiological roles—a subject of ongoing research (bendzunas2024redoxregulationof pages 15-18, bendzunas2025redoxregulationand pages 2-3).</w:t>
      </w:r>
    </w:p>
    <w:p>
      <w:pPr>
        <w:numPr>
          <w:ilvl w:val="0"/>
          <w:numId w:val="1001"/>
        </w:numPr>
      </w:pPr>
      <w:r>
        <w:t xml:space="preserve">References</w:t>
      </w:r>
      <w:r>
        <w:br/>
      </w:r>
      <w:r>
        <w:t xml:space="preserve">bendzunas2024redoxregulationof pages 15-18; bendzunas2024redoxregulationof pages 26-30; bendzunas2024redoxregulationof pages 37-45; bendzunas2024redoxregulationof pages 51-58; bendzunas2024redoxregulationof pages 58-65; bendzunas2025redoxregulationand pages 12-14; bendzunas2025redoxregulationand pages 15-17; bendzunas2025redoxregulationand pages 19-21; bendzunas2025redoxregulationand pages 2-3; bendzunas2025redoxregulationand pages 26-26; bendzunas2025redoxregulationand pages 3-5; bendzunas2025redoxregulationand pages 5-7; koduri2024proteinkinasec pages 1-8; koduri2024proteinkinasec pages 13-21; tamir2020gainoffunctiongeneticscreen pages 8-9; kamireddy2020aquantitativephosphoproteomics pages 27-32; kamireddy2020aquantitativephosphoproteomics pages 37-42.</w:t>
      </w:r>
    </w:p>
    <w:p>
      <w:pPr>
        <w:pStyle w:val="FirstParagraph"/>
      </w:pPr>
      <w:r>
        <w:t xml:space="preserve">References</w:t>
      </w:r>
    </w:p>
    <w:p>
      <w:pPr>
        <w:numPr>
          <w:ilvl w:val="0"/>
          <w:numId w:val="1002"/>
        </w:numPr>
      </w:pPr>
      <w:r>
        <w:t xml:space="preserve">(bendzunas2024redoxregulationof pages 15-18):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(bendzunas2024redoxregulationof pages 26-30):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(bendzunas2024redoxregulationof pages 37-45):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(bendzunas2024redoxregulationof pages 51-58):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(bendzunas2024redoxregulationof pages 58-65):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(bendzunas2025redoxregulationand pages 12-14):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15-17):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19-21):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2-3):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26-26):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3-5):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5-7):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(koduri2024proteinkinasec pages 1-8): A Koduri. Protein kinase c epsilon regulation of brain-specific serine/threonine-protein kinase 1 kinase activity and nuclear localization. Unknown journal, 2024.</w:t>
      </w:r>
    </w:p>
    <w:p>
      <w:pPr>
        <w:numPr>
          <w:ilvl w:val="0"/>
          <w:numId w:val="1002"/>
        </w:numPr>
      </w:pPr>
      <w:r>
        <w:t xml:space="preserve">(koduri2024proteinkinasec pages 13-21): A Koduri. Protein kinase c epsilon regulation of brain-specific serine/threonine-protein kinase 1 kinase activity and nuclear localization. Unknown journal, 2024.</w:t>
      </w:r>
    </w:p>
    <w:p>
      <w:pPr>
        <w:numPr>
          <w:ilvl w:val="0"/>
          <w:numId w:val="1002"/>
        </w:numPr>
      </w:pPr>
      <w:r>
        <w:t xml:space="preserve">(tamir2020gainoffunctiongeneticscreen pages 8-9): Tigist Y Tamir, Brittany M. Bowman, M. Agajanian, Dennis Goldfarb, Dennis Goldfarb, Travis P. Schrank, Trent Stohrer, Andrew E. Hale, P. F. Siesser, S. Weir, Ryan M. Murphy, Kyle Lapak, B. Weissman, Nathaniel J. Moorman, and M. B.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2"/>
        </w:numPr>
      </w:pPr>
      <w:r>
        <w:t xml:space="preserve">(bendzunas2024redoxregulationof pages 12-15):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(bendzunas2024redoxregulationof pages 3-7):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2"/>
        </w:numPr>
      </w:pPr>
      <w:r>
        <w:t xml:space="preserve">(bendzunas2025redoxregulationand pages 14-15):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17-18):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25-26):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(bendzunas2025redoxregulationand pages 7-9):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2"/>
        </w:numPr>
      </w:pPr>
      <w:r>
        <w:t xml:space="preserve">(kamireddy2020aquantitativephosphoproteomics pages 27-32): A Kamireddy. A quantitative phosphoproteomics screen to identify critical targets of the lkb1 tumor suppressor reveals gap proteins for ras superfamily gtpases as novel …. Unknown journal, 2020.</w:t>
      </w:r>
    </w:p>
    <w:p>
      <w:pPr>
        <w:numPr>
          <w:ilvl w:val="0"/>
          <w:numId w:val="1002"/>
        </w:numPr>
      </w:pPr>
      <w:r>
        <w:t xml:space="preserve">(kamireddy2020aquantitativephosphoproteomics pages 37-42): A Kamireddy. A quantitative phosphoproteomics screen to identify critical targets of the lkb1 tumor suppressor reveals gap proteins for ras superfamily gtpases as novel …. Unknown journal, 2020.</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2025-05-22T17:59:01Z</dcterms:created>
  <dcterms:modified xsi:type="dcterms:W3CDTF">2025-05-22T17:59:01Z</dcterms:modified>
</cp:coreProperties>
</file>

<file path=docProps/custom.xml><?xml version="1.0" encoding="utf-8"?>
<Properties xmlns="http://schemas.openxmlformats.org/officeDocument/2006/custom-properties" xmlns:vt="http://schemas.openxmlformats.org/officeDocument/2006/docPropsVTypes"/>
</file>