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Fructosamine-3-kinase (FN3K) is an evolutionarily conserved enzyme found in all domains of life, ranging from bacteria to lower eukaryotes and complex mammals. In prokaryotes and simple eukaryotes, a single FN3K gene is typically present, whereas in tetrapods two homologs exist – FN3K and the FN3K-related protein (FN3K-RP) – a divergence that arose from independent gene duplication events in the reptilian/bird and placental mammal lineages (shrestha2023elucidatingtheunderstudied pages 27-32). FN3K belongs to the protein kinase-like (PKL) fold superfamily and is most closely related to a subset of eukaryotic-like kinases (ELKs) that phosphorylate small molecule substrates, rather than the classical eukaryotic protein kinases (EPKs) known for phosphorylating serine/threonine or tyrosine residues (avemaria2015possibleroleof pages 1-2). Across species, orthologs of FN3K have been identified in mammals, birds, amphibians, and fishes, with notable conservation of key catalytic and regulatory motifs; however, some organisms (for instance, yeasts and arthropods) appear to lack a canonical FN3K ortholog (shrestha2023elucidatingtheunderstudied pages 65-71). In phylogenetic reconstructions, FN3K clusters within a core set of kinases that trace back to the Last Common Eukaryotic Ancestor, highlighting its ancient and indispensable role in cellular homeostasis (beeraka2021thetamingof pages 12-14).</w:t>
      </w:r>
    </w:p>
    <w:p>
      <w:pPr>
        <w:numPr>
          <w:ilvl w:val="0"/>
          <w:numId w:val="1001"/>
        </w:numPr>
      </w:pPr>
      <w:r>
        <w:t xml:space="preserve">Reaction Catalyzed</w:t>
      </w:r>
      <w:r>
        <w:br/>
      </w:r>
      <w:r>
        <w:t xml:space="preserve">FN3K catalyzes the ATP-dependent phosphorylation of fructosamines, which are sugar–protein adducts typically formed when reducing sugars such as glucose or ribose nonenzymatically react with lysine residues in proteins. More specifically, the enzyme transfers the γ-phosphate from ATP to the 3’-hydroxyl group of the fructosamine moiety, thereby generating a fructosamine-3-phosphate derivative (beisswenger2001humanfructosamine3kinasepurification pages 1-2). This phosphorylated intermediate is intrinsically unstable and rapidly decomposes via elimination, resulting in the removal of the glycation adduct and the regeneration of the native, unmodified lysine residue (avemaria2015possibleroleof pages 1-2). In addition to its primary substrate, FN3K is capable of phosphorylating related compounds such as psicosamines and ribulosamines, which suggests a broader substrate repertoire among orthologs, particularly in mammals (garg2025themolecularbasis pages 1-2). The overall reaction can be summarized as: ATP + glycation-modified protein → ADP + phosphorylated glycation (which then degrades) + H⁺, a reaction mechanism that mitigates the formation of Advanced Glycation End products (AGEs) implicated in diabetic complications (beisswenger2001humanfructosamine3kinasepurification pages 1-2).</w:t>
      </w:r>
    </w:p>
    <w:p>
      <w:pPr>
        <w:numPr>
          <w:ilvl w:val="0"/>
          <w:numId w:val="1001"/>
        </w:numPr>
      </w:pPr>
      <w:r>
        <w:t xml:space="preserve">Cofactor Requirements</w:t>
      </w:r>
      <w:r>
        <w:br/>
      </w:r>
      <w:r>
        <w:t xml:space="preserve">The kinase activity of FN3K is strictly dependent on ATP, which serves as the phosphate donor during the phosphorylation reaction (garg2025themolecularbasis pages 1-2). In addition, divalent metal ions—most notably Mg²⁺—are essential cofactors that facilitate proper ATP binding and catalysis by stabilizing the transition state and the nucleotide substrate (shrestha2023elucidatingtheunderstudiedc pages 121-126). Some studies have also suggested that FN3K might interact with nicotinamide adenine dinucleotide (NAD) compounds in a metal- and concentration-dependent manner, hinting at a potential regulatory cross-talk with cellular redox pathways (shrestha2023elucidatingtheunderstudied pages 90-95). Thus, the core cofactor requirements for optimal FN3K activity are ATP and Mg²⁺, with additional modulation by NAD-related metabolites providing an intricate link between deglycation and redox homeostasis (garg2025themolecularbasis pages 1-2).</w:t>
      </w:r>
    </w:p>
    <w:p>
      <w:pPr>
        <w:numPr>
          <w:ilvl w:val="0"/>
          <w:numId w:val="1001"/>
        </w:numPr>
      </w:pPr>
      <w:r>
        <w:t xml:space="preserve">Substrate Specificity</w:t>
      </w:r>
      <w:r>
        <w:br/>
      </w:r>
      <w:r>
        <w:t xml:space="preserve">FN3K exhibits a high substrate specificity for fructosamine adducts, preferentially targeting sugar moieties attached to lysine residues on proteins. The physiological substrates of FN3K are primarily fructoselysine residues that result from the nonenzymatic glycation of proteins, especially prevalent in long-lived proteins found in erythrocytes, the lens, and brain tissues (avemaria2015possibleroleof pages 1-2). Additionally, several studies indicate that FN3K can phosphorylate structurally related glycation adducts such as psicosamines and ribulosamines, suggesting that it plays a broader role in protein deglycation beyond a single substrate type (garg2025themolecularbasis pages 1-2). Although a consensus substrate motif has not been conclusively defined as in some other kinases, the selective recognition appears to be driven by the structural configuration of the glycated lysine side chain and the attached sugar moiety, which is optimally positioned for phosphorylation at the 3′ position (beisswenger2001humanfructosamine3kinasepurification pages 1-2).</w:t>
      </w:r>
    </w:p>
    <w:p>
      <w:pPr>
        <w:numPr>
          <w:ilvl w:val="0"/>
          <w:numId w:val="1001"/>
        </w:numPr>
      </w:pPr>
      <w:r>
        <w:t xml:space="preserve">Structure</w:t>
      </w:r>
      <w:r>
        <w:br/>
      </w:r>
      <w:r>
        <w:t xml:space="preserve">FN3K possesses a catalytic domain that adheres to the canonical protein kinase-like (PKL) fold, comprising a smaller N-terminal lobe predominantly composed of β-strands and a larger C-terminal lobe enriched in α-helices. Structural studies, including the crystal structure of Arabidopsis thaliana FN3K (AtFN3K) and homology models of the human enzyme, reveal that FN3K is a monomeric kinase of approximately 309 amino acids in humans (avemaria2015possibleroleof pages 1-2, shrestha2023elucidatingtheunderstudiedc pages 1-13). A uniquely defining structural feature of FN3K is the presence of a highly conserved cysteine residue located in the ATP-binding P-loop; in plant FN3K, this cysteine participates in the formation of an interchain disulfide bond that stabilizes a strand-exchange dimer, a redox-active switch that modulates enzymatic activity (shrestha2020aredoxactiveswitch pages 1-1, shrestha2023elucidatingtheunderstudied pages 13-17). Although human FN3K is typically described as monomeric, the equivalent P-loop cysteine confers redox sensitivity that can potentially influence its conformation and activity (garg2025themolecularbasis pages 8-10, shrestha2023elucidatingtheunderstudied pages 65-71). Overall, the central kinase domain is the primary structural element, with flanking regions being less conserved and possibly involved in substrate recognition or interaction with regulatory proteins (beisswenger2001humanfructosamine3kinasepurification pages 1-2).</w:t>
      </w:r>
    </w:p>
    <w:p>
      <w:pPr>
        <w:numPr>
          <w:ilvl w:val="0"/>
          <w:numId w:val="1001"/>
        </w:numPr>
      </w:pPr>
      <w:r>
        <w:t xml:space="preserve">Regulation</w:t>
      </w:r>
      <w:r>
        <w:br/>
      </w:r>
      <w:r>
        <w:t xml:space="preserve">The regulation of FN3K is multifaceted and involves both cofactor interactions and redox-dependent mechanisms. A pivotal regulatory mechanism is mediated by the conserved P-loop cysteine, which serves as a redox-active switch; reversible formation of disulfide bonds involving this cysteine modulates FN3K dimerization and catalytic activity (shrestha2020aredoxactiveswitch pages 1-1, shrestha2023elucidatingtheunderstudied pages 13-17). In human FN3K, alterations in the cellular redox environment can change the oxidation state of this cysteine residue, thereby affecting enzyme activity; for instance, oxidative conditions may promote disulfide bond formation, leading to changes in conformation that could either inhibit or alter substrate specificity (garg2025themolecularbasis pages 8-10, shrestha2023elucidatingtheunderstudied pages 65-71). Although post-translational modifications such as phosphorylation have not been extensively detailed for FN3K, the enzyme’s activity is further modulated by its interaction with cofactors like ATP and possibly NAD derivatives, linking its regulation to cellular energy and redox status (shrestha2023elucidatingtheunderstudiedc pages 121-126). Thus, FN3K regulation is achieved through a combination of redox state modulation, nucleotide binding, and potentially interactions with other cellular metabolites that fine-tune its deglycation function (avemaria2015possibleroleof pages 1-2).</w:t>
      </w:r>
    </w:p>
    <w:p>
      <w:pPr>
        <w:numPr>
          <w:ilvl w:val="0"/>
          <w:numId w:val="1001"/>
        </w:numPr>
      </w:pPr>
      <w:r>
        <w:t xml:space="preserve">Function</w:t>
      </w:r>
      <w:r>
        <w:br/>
      </w:r>
      <w:r>
        <w:t xml:space="preserve">The principal function of FN3K is to safeguard protein integrity by catalyzing the deglycation of proteins that have been modified by non-enzymatic glycation with reducing sugars. By phosphorylating fructoselysine residues on glycated proteins, FN3K initiates a reaction that leads to the spontaneous decomposition of the fructosamine adduct, thereby restoring protein function and preventing the accumulation of Advanced Glycation End products (AGEs) (avemaria2015possibleroleof pages 1-2, beisswenger2001humanfructosamine3kinasepurification pages 1-2). In addition to its role in protein repair, emerging research suggests that FN3K is involved in the cellular response to oxidative stress; for example, deglycation of key regulatory proteins such as NFE2L2/NRF2 by FN3K facilitates proper transcriptional responses against oxidative damage (garg2025themolecularbasis pages 1-2). FN3K is expressed in tissues with proteins of long half-life, such as erythrocytes, the lens, and the brain, where the prevention of glycation-induced damage is critical for maintaining cellular function (avemaria2015possibleroleof pages 1-2). Moreover, in pathological contexts like diabetes, polymorphisms within the FN3K gene have been associated with altered glycation levels, implicating the enzyme in diabetic complications and metabolic dysregulation (shrestha2023elucidatingtheunderstudied pages 121-126). This deglycation process is not only critical for protein quality control but also influences cellular metabolism and redox homeostasis, thereby impacting processes such as cell signaling, gene expression, and even oncogenic pathways (garg2025themolecularbasis pages 1-2).</w:t>
      </w:r>
    </w:p>
    <w:p>
      <w:pPr>
        <w:numPr>
          <w:ilvl w:val="0"/>
          <w:numId w:val="1001"/>
        </w:numPr>
      </w:pPr>
      <w:r>
        <w:t xml:space="preserve">Other Comments</w:t>
      </w:r>
      <w:r>
        <w:br/>
      </w:r>
      <w:r>
        <w:t xml:space="preserve">While no specific small molecule inhibitors have been firmly established for FN3K, its classification as a kinase with a unique redox-regulated active site makes it a promising target for therapeutic intervention, particularly in conditions related to diabetic complications and oxidative stress (shrestha2023elucidatingtheunderstudied pages 90-95). Clinical research suggests that variations in FN3K activity, due in part to genetic polymorphisms, correlate with glycation levels and HbA1c values, and thereby may influence disease onset and progression in diabetes (avemaria2015possibleroleof pages 1-2, beisswenger2001humanfructosamine3kinasepurification pages 1-2). Current studies are also exploring the possibility that FN3K’s deglycation activity modulates the function of key transcription factors such as NRF2, suggesting further implications in cancer biology and cellular stress responses (garg2025themolecularbasis pages 8-10, shrestha2020aredoxactiveswitch pages 1-1). Ongoing research is focused on characterizing novel inhibitors that can selectively modulate FN3K activity without affecting the broader kinase network, an endeavor that draws on structural insights such as the unique disulfide-mediated redox switch in the P-loop (shrestha2023elucidatingtheunderstudied pages 13-17). Additionally, several mutagenesis studies have highlighted that substitutions at key catalytic residues can significantly impair enzymatic function, thereby establishing critical regions for further drug design efforts (shrestha2023elucidatingtheunderstudiedd pages 13-17). Overall, FN3K remains an active area of research with its function bridging protein repair, metabolic regulation, and redox balance, and future discoveries may yield therapeutic agents to manage glycation-associated disorders.</w:t>
      </w:r>
    </w:p>
    <w:p>
      <w:pPr>
        <w:numPr>
          <w:ilvl w:val="0"/>
          <w:numId w:val="1001"/>
        </w:numPr>
      </w:pPr>
      <w:r>
        <w:t xml:space="preserve">References</w:t>
      </w:r>
      <w:r>
        <w:br/>
      </w:r>
    </w:p>
    <w:p>
      <w:pPr>
        <w:numPr>
          <w:ilvl w:val="0"/>
          <w:numId w:val="1001"/>
        </w:numPr>
      </w:pPr>
      <w:r>
        <w:t xml:space="preserve">avemaria2015possibleroleof pages 1-2</w:t>
      </w:r>
      <w:r>
        <w:br/>
      </w:r>
    </w:p>
    <w:p>
      <w:pPr>
        <w:numPr>
          <w:ilvl w:val="0"/>
          <w:numId w:val="1001"/>
        </w:numPr>
      </w:pPr>
      <w:r>
        <w:t xml:space="preserve">beeraka2021thetamingof pages 12-14</w:t>
      </w:r>
      <w:r>
        <w:br/>
      </w:r>
    </w:p>
    <w:p>
      <w:pPr>
        <w:numPr>
          <w:ilvl w:val="0"/>
          <w:numId w:val="1001"/>
        </w:numPr>
      </w:pPr>
      <w:r>
        <w:t xml:space="preserve">beisswenger2001humanfructosamine3kinasepurification pages 1-2</w:t>
      </w:r>
      <w:r>
        <w:br/>
      </w:r>
    </w:p>
    <w:p>
      <w:pPr>
        <w:numPr>
          <w:ilvl w:val="0"/>
          <w:numId w:val="1001"/>
        </w:numPr>
      </w:pPr>
      <w:r>
        <w:t xml:space="preserve">garg2025themolecularbasis pages 1-2</w:t>
      </w:r>
      <w:r>
        <w:br/>
      </w:r>
    </w:p>
    <w:p>
      <w:pPr>
        <w:numPr>
          <w:ilvl w:val="0"/>
          <w:numId w:val="1001"/>
        </w:numPr>
      </w:pPr>
      <w:r>
        <w:t xml:space="preserve">garg2025themolecularbasis pages 8-10</w:t>
      </w:r>
      <w:r>
        <w:br/>
      </w:r>
    </w:p>
    <w:p>
      <w:pPr>
        <w:numPr>
          <w:ilvl w:val="0"/>
          <w:numId w:val="1001"/>
        </w:numPr>
      </w:pPr>
      <w:r>
        <w:t xml:space="preserve">shrestha2020aredoxactiveswitch pages 1-1</w:t>
      </w:r>
      <w:r>
        <w:br/>
      </w:r>
    </w:p>
    <w:p>
      <w:pPr>
        <w:numPr>
          <w:ilvl w:val="0"/>
          <w:numId w:val="1001"/>
        </w:numPr>
      </w:pPr>
      <w:r>
        <w:t xml:space="preserve">shrestha2023elucidatingtheunderstudied pages 1-13</w:t>
      </w:r>
      <w:r>
        <w:br/>
      </w:r>
    </w:p>
    <w:p>
      <w:pPr>
        <w:numPr>
          <w:ilvl w:val="0"/>
          <w:numId w:val="1001"/>
        </w:numPr>
      </w:pPr>
      <w:r>
        <w:t xml:space="preserve">shrestha2023elucidatingtheunderstudied pages 121-126</w:t>
      </w:r>
      <w:r>
        <w:br/>
      </w:r>
    </w:p>
    <w:p>
      <w:pPr>
        <w:numPr>
          <w:ilvl w:val="0"/>
          <w:numId w:val="1001"/>
        </w:numPr>
      </w:pPr>
      <w:r>
        <w:t xml:space="preserve">shrestha2023elucidatingtheunderstudied pages 13-17</w:t>
      </w:r>
      <w:r>
        <w:br/>
      </w:r>
    </w:p>
    <w:p>
      <w:pPr>
        <w:numPr>
          <w:ilvl w:val="0"/>
          <w:numId w:val="1001"/>
        </w:numPr>
      </w:pPr>
      <w:r>
        <w:t xml:space="preserve">shrestha2023elucidatingtheunderstudied pages 17-22</w:t>
      </w:r>
      <w:r>
        <w:br/>
      </w:r>
    </w:p>
    <w:p>
      <w:pPr>
        <w:numPr>
          <w:ilvl w:val="0"/>
          <w:numId w:val="1001"/>
        </w:numPr>
      </w:pPr>
      <w:r>
        <w:t xml:space="preserve">shrestha2023elucidatingtheunderstudied pages 27-32</w:t>
      </w:r>
      <w:r>
        <w:br/>
      </w:r>
    </w:p>
    <w:p>
      <w:pPr>
        <w:numPr>
          <w:ilvl w:val="0"/>
          <w:numId w:val="1001"/>
        </w:numPr>
      </w:pPr>
      <w:r>
        <w:t xml:space="preserve">shrestha2023elucidatingtheunderstudied pages 55-61</w:t>
      </w:r>
      <w:r>
        <w:br/>
      </w:r>
    </w:p>
    <w:p>
      <w:pPr>
        <w:numPr>
          <w:ilvl w:val="0"/>
          <w:numId w:val="1001"/>
        </w:numPr>
      </w:pPr>
      <w:r>
        <w:t xml:space="preserve">shrestha2023elucidatingtheunderstudied pages 65-71</w:t>
      </w:r>
      <w:r>
        <w:br/>
      </w:r>
    </w:p>
    <w:p>
      <w:pPr>
        <w:numPr>
          <w:ilvl w:val="0"/>
          <w:numId w:val="1001"/>
        </w:numPr>
      </w:pPr>
      <w:r>
        <w:t xml:space="preserve">shrestha2023elucidatingtheunderstudied pages 90-95</w:t>
      </w:r>
      <w:r>
        <w:br/>
      </w:r>
    </w:p>
    <w:p>
      <w:pPr>
        <w:numPr>
          <w:ilvl w:val="0"/>
          <w:numId w:val="1001"/>
        </w:numPr>
      </w:pPr>
      <w:r>
        <w:t xml:space="preserve">shrestha2023elucidatingtheunderstudieda pages 1-13</w:t>
      </w:r>
      <w:r>
        <w:br/>
      </w:r>
    </w:p>
    <w:p>
      <w:pPr>
        <w:numPr>
          <w:ilvl w:val="0"/>
          <w:numId w:val="1001"/>
        </w:numPr>
      </w:pPr>
      <w:r>
        <w:t xml:space="preserve">shrestha2023elucidatingtheunderstudieda pages 121-126</w:t>
      </w:r>
      <w:r>
        <w:br/>
      </w:r>
    </w:p>
    <w:p>
      <w:pPr>
        <w:numPr>
          <w:ilvl w:val="0"/>
          <w:numId w:val="1001"/>
        </w:numPr>
      </w:pPr>
      <w:r>
        <w:t xml:space="preserve">shrestha2023elucidatingtheunderstudieda pages 13-17</w:t>
      </w:r>
      <w:r>
        <w:br/>
      </w:r>
    </w:p>
    <w:p>
      <w:pPr>
        <w:numPr>
          <w:ilvl w:val="0"/>
          <w:numId w:val="1001"/>
        </w:numPr>
      </w:pPr>
      <w:r>
        <w:t xml:space="preserve">shrestha2023elucidatingtheunderstudieda pages 17-22</w:t>
      </w:r>
      <w:r>
        <w:br/>
      </w:r>
    </w:p>
    <w:p>
      <w:pPr>
        <w:numPr>
          <w:ilvl w:val="0"/>
          <w:numId w:val="1001"/>
        </w:numPr>
      </w:pPr>
      <w:r>
        <w:t xml:space="preserve">shrestha2023elucidatingtheunderstudieda pages 27-32</w:t>
      </w:r>
      <w:r>
        <w:br/>
      </w:r>
    </w:p>
    <w:p>
      <w:pPr>
        <w:numPr>
          <w:ilvl w:val="0"/>
          <w:numId w:val="1001"/>
        </w:numPr>
      </w:pPr>
      <w:r>
        <w:t xml:space="preserve">shrestha2023elucidatingtheunderstudieda pages 65-71</w:t>
      </w:r>
      <w:r>
        <w:br/>
      </w:r>
    </w:p>
    <w:p>
      <w:pPr>
        <w:numPr>
          <w:ilvl w:val="0"/>
          <w:numId w:val="1001"/>
        </w:numPr>
      </w:pPr>
      <w:r>
        <w:t xml:space="preserve">shrestha2023elucidatingtheunderstudieda pages 90-95</w:t>
      </w:r>
      <w:r>
        <w:br/>
      </w:r>
    </w:p>
    <w:p>
      <w:pPr>
        <w:numPr>
          <w:ilvl w:val="0"/>
          <w:numId w:val="1001"/>
        </w:numPr>
      </w:pPr>
      <w:r>
        <w:t xml:space="preserve">shrestha2023elucidatingtheunderstudieda pages 95-101</w:t>
      </w:r>
      <w:r>
        <w:br/>
      </w:r>
    </w:p>
    <w:p>
      <w:pPr>
        <w:numPr>
          <w:ilvl w:val="0"/>
          <w:numId w:val="1001"/>
        </w:numPr>
      </w:pPr>
      <w:r>
        <w:t xml:space="preserve">shrestha2023elucidatingtheunderstudiedb pages 1-13</w:t>
      </w:r>
      <w:r>
        <w:br/>
      </w:r>
    </w:p>
    <w:p>
      <w:pPr>
        <w:numPr>
          <w:ilvl w:val="0"/>
          <w:numId w:val="1001"/>
        </w:numPr>
      </w:pPr>
      <w:r>
        <w:t xml:space="preserve">shrestha2023elucidatingtheunderstudiedb pages 13-17</w:t>
      </w:r>
      <w:r>
        <w:br/>
      </w:r>
    </w:p>
    <w:p>
      <w:pPr>
        <w:numPr>
          <w:ilvl w:val="0"/>
          <w:numId w:val="1001"/>
        </w:numPr>
      </w:pPr>
      <w:r>
        <w:t xml:space="preserve">shrestha2023elucidatingtheunderstudiedb pages 17-22</w:t>
      </w:r>
      <w:r>
        <w:br/>
      </w:r>
    </w:p>
    <w:p>
      <w:pPr>
        <w:numPr>
          <w:ilvl w:val="0"/>
          <w:numId w:val="1001"/>
        </w:numPr>
      </w:pPr>
      <w:r>
        <w:t xml:space="preserve">shrestha2023elucidatingtheunderstudiedb pages 27-32</w:t>
      </w:r>
      <w:r>
        <w:br/>
      </w:r>
    </w:p>
    <w:p>
      <w:pPr>
        <w:numPr>
          <w:ilvl w:val="0"/>
          <w:numId w:val="1001"/>
        </w:numPr>
      </w:pPr>
      <w:r>
        <w:t xml:space="preserve">shrestha2023elucidatingtheunderstudiedb pages 65-71</w:t>
      </w:r>
      <w:r>
        <w:br/>
      </w:r>
    </w:p>
    <w:p>
      <w:pPr>
        <w:numPr>
          <w:ilvl w:val="0"/>
          <w:numId w:val="1001"/>
        </w:numPr>
      </w:pPr>
      <w:r>
        <w:t xml:space="preserve">shrestha2023elucidatingtheunderstudiedb pages 90-95</w:t>
      </w:r>
      <w:r>
        <w:br/>
      </w:r>
    </w:p>
    <w:p>
      <w:pPr>
        <w:numPr>
          <w:ilvl w:val="0"/>
          <w:numId w:val="1001"/>
        </w:numPr>
      </w:pPr>
      <w:r>
        <w:t xml:space="preserve">shrestha2023elucidatingtheunderstudiedb pages 95-101</w:t>
      </w:r>
      <w:r>
        <w:br/>
      </w:r>
    </w:p>
    <w:p>
      <w:pPr>
        <w:numPr>
          <w:ilvl w:val="0"/>
          <w:numId w:val="1001"/>
        </w:numPr>
      </w:pPr>
      <w:r>
        <w:t xml:space="preserve">shrestha2023elucidatingtheunderstudiedc pages 1-13</w:t>
      </w:r>
      <w:r>
        <w:br/>
      </w:r>
    </w:p>
    <w:p>
      <w:pPr>
        <w:numPr>
          <w:ilvl w:val="0"/>
          <w:numId w:val="1001"/>
        </w:numPr>
      </w:pPr>
      <w:r>
        <w:t xml:space="preserve">shrestha2023elucidatingtheunderstudiedc pages 121-126</w:t>
      </w:r>
      <w:r>
        <w:br/>
      </w:r>
    </w:p>
    <w:p>
      <w:pPr>
        <w:numPr>
          <w:ilvl w:val="0"/>
          <w:numId w:val="1001"/>
        </w:numPr>
      </w:pPr>
      <w:r>
        <w:t xml:space="preserve">shrestha2023elucidatingtheunderstudiedc pages 13-17</w:t>
      </w:r>
      <w:r>
        <w:br/>
      </w:r>
    </w:p>
    <w:p>
      <w:pPr>
        <w:numPr>
          <w:ilvl w:val="0"/>
          <w:numId w:val="1001"/>
        </w:numPr>
      </w:pPr>
      <w:r>
        <w:t xml:space="preserve">shrestha2023elucidatingtheunderstudiedc pages 17-22</w:t>
      </w:r>
      <w:r>
        <w:br/>
      </w:r>
    </w:p>
    <w:p>
      <w:pPr>
        <w:numPr>
          <w:ilvl w:val="0"/>
          <w:numId w:val="1001"/>
        </w:numPr>
      </w:pPr>
      <w:r>
        <w:t xml:space="preserve">shrestha2023elucidatingtheunderstudiedc pages 27-32</w:t>
      </w:r>
      <w:r>
        <w:br/>
      </w:r>
    </w:p>
    <w:p>
      <w:pPr>
        <w:numPr>
          <w:ilvl w:val="0"/>
          <w:numId w:val="1001"/>
        </w:numPr>
      </w:pPr>
      <w:r>
        <w:t xml:space="preserve">shrestha2023elucidatingtheunderstudiedc pages 65-71</w:t>
      </w:r>
      <w:r>
        <w:br/>
      </w:r>
    </w:p>
    <w:p>
      <w:pPr>
        <w:numPr>
          <w:ilvl w:val="0"/>
          <w:numId w:val="1001"/>
        </w:numPr>
      </w:pPr>
      <w:r>
        <w:t xml:space="preserve">shrestha2023elucidatingtheunderstudiedc pages 90-95</w:t>
      </w:r>
      <w:r>
        <w:br/>
      </w:r>
    </w:p>
    <w:p>
      <w:pPr>
        <w:numPr>
          <w:ilvl w:val="0"/>
          <w:numId w:val="1001"/>
        </w:numPr>
      </w:pPr>
      <w:r>
        <w:t xml:space="preserve">shrestha2023elucidatingtheunderstudiedc pages 95-101</w:t>
      </w:r>
      <w:r>
        <w:br/>
      </w:r>
    </w:p>
    <w:p>
      <w:pPr>
        <w:numPr>
          <w:ilvl w:val="0"/>
          <w:numId w:val="1001"/>
        </w:numPr>
      </w:pPr>
      <w:r>
        <w:t xml:space="preserve">shrestha2023elucidatingtheunderstudiedd pages 1-13</w:t>
      </w:r>
      <w:r>
        <w:br/>
      </w:r>
    </w:p>
    <w:p>
      <w:pPr>
        <w:numPr>
          <w:ilvl w:val="0"/>
          <w:numId w:val="1001"/>
        </w:numPr>
      </w:pPr>
      <w:r>
        <w:t xml:space="preserve">shrestha2023elucidatingtheunderstudiedd pages 121-126</w:t>
      </w:r>
      <w:r>
        <w:br/>
      </w:r>
    </w:p>
    <w:p>
      <w:pPr>
        <w:numPr>
          <w:ilvl w:val="0"/>
          <w:numId w:val="1001"/>
        </w:numPr>
      </w:pPr>
      <w:r>
        <w:t xml:space="preserve">shrestha2023elucidatingtheunderstudiedd pages 13-17</w:t>
      </w:r>
    </w:p>
    <w:p>
      <w:pPr>
        <w:pStyle w:val="FirstParagraph"/>
      </w:pPr>
      <w:r>
        <w:t xml:space="preserve">References</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(beisswenger2001humanfructosamine3kinasepurification pages 1-2):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(garg2025themolecularbasis pages 1-2): Ankur Garg, K. On, Yang Xiao, E. Elkayam, Paolo Cifani, Yael David, and L.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8-10): Ankur Garg, K. On, Yang Xiao, E. Elkayam, Paolo Cifani, Yael David, and L.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(shrestha2020aredoxactiveswitch pages 1-1):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(shrestha2023elucidatingtheunderstudied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55-61):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(shrestha2023elucidatingtheunderstudiedd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(shrestha2023elucidatingtheunderstudiedd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(shrestha2023elucidatingtheunderstudiedd pages 13-17): S Shrestha. Elucidating the understudied fructosamine-3-kinase (fn3k) family: a combined experimental and computational study on structure, function, evolution, and ….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