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AMPK catalytic subunit alpha‐1 (AMPKα1), encoded by PRKAA1, is an evolutionarily ancient serine/threonine protein kinase that belongs to the SNF1/AMPK family, a group of kinases that play a central role in cellular energy homeostasis across eukaryotes (herzig2018ampkguardianof pages 1-2). AMPKα1 is part of a heterotrimeric complex that emerged early during evolution, with orthologs found in fungi, protists, and mammals, indicating that the core energy‐sensing mechanism was already established in the last eukaryotic common ancestor (roustan2016anevolutionaryperspective pages 1-1). In vertebrates, gene duplication events have given rise to multiple isoforms of the catalytic α‐subunit (α1 and α2), with AMPKα1 being one of the dominant isoforms present in a wide variety of tissues (herzig2018ampkguardianof pages 3-4). Phylogenetic analyses place AMPKα1 within a conserved kinase lineage that shares structural and regulatory features with its evolutionary relatives, including yeast SNF1 and plant kinases controlling energy metabolism (kurumbail2016structureandregulation pages 4-6). The conservation of critical residues, such as the phosphorylation‐sensitive threonine in the activation loop (Thr172 in α1), underscores the functional importance of this kinase domain throughout evolution (herzig2018ampkguardianof pages 1-2).</w:t>
      </w:r>
    </w:p>
    <w:p>
      <w:pPr>
        <w:numPr>
          <w:ilvl w:val="0"/>
          <w:numId w:val="1001"/>
        </w:numPr>
      </w:pPr>
      <w:r>
        <w:t xml:space="preserve">Reaction Catalyzed</w:t>
      </w:r>
      <w:r>
        <w:br/>
      </w:r>
      <w:r>
        <w:t xml:space="preserve">AMPKα1 catalyzes the phosphorylation reaction in which a phosphate group is transferred from ATP to specific serine or threonine residues on substrate proteins, thereby modulating their activity (herzig2018ampkguardianof pages 1-2). The catalytic process can be summarized by the chemical reaction: ATP + [protein]–(L-serine or L-threonine) → ADP + [protein]–(L-serine/threonine)-phosphate + H⁺ (herzig2018ampkguardianof pages 3-4). This phosphorylation mechanism allows AMPKα1 to rapidly alter the function of key metabolic enzymes and regulatory proteins in response to fluctuations in cellular energy levels (langendorf2015choreographyofampk pages 1-2). The reaction is typical of serine/threonine kinases and is central to AMPK’s role as a metabolic master switch, enabling the inhibition of anabolic processes and the activation of catabolic pathways when energy is low (herzig2018ampkguardianof pages 12-13).</w:t>
      </w:r>
    </w:p>
    <w:p>
      <w:pPr>
        <w:numPr>
          <w:ilvl w:val="0"/>
          <w:numId w:val="1001"/>
        </w:numPr>
      </w:pPr>
      <w:r>
        <w:t xml:space="preserve">Cofactor Requirements</w:t>
      </w:r>
      <w:r>
        <w:br/>
      </w:r>
      <w:r>
        <w:t xml:space="preserve">The catalytic activity of AMPKα1 is dependent on the presence of divalent metal ions, primarily magnesium (Mg²⁺), which serve as essential cofactors to facilitate the binding of ATP in the kinase active site (kurumbail2016structureandregulation pages 4-6). In addition to Mg²⁺, the enzyme’s regulation is closely linked to the binding of adenine nucleotides—AMP, ADP, and ATP—to the regulatory gamma subunit, which indirectly modulates the activity of the catalytic α‐subunit (li2019ampkandautophagy pages 97-100). The proper coordination of metal ions and the correct nucleotide occupancy orchestrate the conformational states necessary for AMPKα1 to either maintain a low basal activity in energy-replete conditions or to rapidly enhance its catalytic function during energy stress (langendorf2015choreographyofampk pages 2-2).</w:t>
      </w:r>
    </w:p>
    <w:p>
      <w:pPr>
        <w:numPr>
          <w:ilvl w:val="0"/>
          <w:numId w:val="1001"/>
        </w:numPr>
      </w:pPr>
      <w:r>
        <w:t xml:space="preserve">Substrate Specificity</w:t>
      </w:r>
      <w:r>
        <w:br/>
      </w:r>
      <w:r>
        <w:t xml:space="preserve">AMPKα1 exhibits broad substrate specificity and preferentially phosphorylates serine/threonine residues on proteins involved in metabolic regulation, thereby coordinating cellular energy status with multiple physiological processes (herzig2018ampkguardianof pages 1-2). Among the well‐characterized substrates regulated by AMPKα1 are key metabolic enzymes, including acetyl‐CoA carboxylases (ACACA and ACACB), which are inactivated upon phosphorylation to inhibit fatty acid synthesis (herzig2018ampkguardianof pages 12-13). In addition, AMPKα1 phosphorylates regulatory proteins involved in glucose metabolism—such as insulin receptor substrate 1 (IRS1) and the Rab GTPase-activating protein TBC1D4 (AS160)—thereby enhancing glucose uptake in skeletal muscle (kjøbsted2018ampkinskeletal pages 27-28). Although the precise consensus recognition motif for AMPK substrates is not as sharply defined as in some other kinases, its substrate recognition involves a surrounding context enriched in basic and hydrophobic residues, a feature common to many serine/threonine kinases (herzig2018ampkguardianof pages 3-4). Together, these features enable AMPKα1 to target a wide array of proteins across metabolic, transcriptional, and signaling pathways, ensuring rapid adaptation to changes in cellular energy status (li2019ampkandautophagy pages 299-301).</w:t>
      </w:r>
    </w:p>
    <w:p>
      <w:pPr>
        <w:numPr>
          <w:ilvl w:val="0"/>
          <w:numId w:val="1001"/>
        </w:numPr>
      </w:pPr>
      <w:r>
        <w:t xml:space="preserve">Structure</w:t>
      </w:r>
      <w:r>
        <w:br/>
      </w:r>
      <w:r>
        <w:t xml:space="preserve">AMPKα1 is comprised of a well‐organized domain architecture that includes an N-terminal catalytic kinase domain responsible for phosphate transfer, a central autoinhibitory domain (AID), and regions involved in mediating interactions with the regulatory β and γ subunits (herzig2018ampkguardianof pages 3-4). The N-terminal kinase domain adopts the classical bilobal structure seen in many serine/threonine kinases with a smaller N-lobe that binds ATP and a larger C-lobe that interacts with substrates, with a highly conserved threonine (Thr172 in α1) in the activation loop whose phosphorylation is essential for full catalytic activation (kurumbail2016structureandregulation pages 4-6). Structural studies using X-ray crystallography and cryo-electron microscopy have revealed that in its active state, the kinase domain of AMPKα1 is stabilized through the association with its regulatory subunits, which in turn influence allosteric transitions via binding of adenine nucleotides to specific CBS domains on the γ‐subunit (yan2018structureandphysiological pages 4-7, steinberg2023newinsightsinto pages 9-13). The autoinhibitory domain, located adjacent to the kinase domain, serves as a modulator that can restrict catalytic activity under conditions where energy is plentiful, and its disengagement is often associated with conformational changes upon AMP binding (langendorf2015choreographyofampk pages 1-2, kurumbail2016structureandregulation pages 6-9). Unique to the heterotrimeric complex, the β subunit provides a carbohydrate‐binding module (CBM) that links AMPK activity to cellular glycogen levels, while the γ subunit contains four tandem cystathionine-β-synthase repeats that form nucleotide-binding sites; these sites are critical for relaying changes in the cellular energy state to the catalytic α‐subunit (herzig2018ampkguardianof pages 12-13, langendorf2015choreographyofampk pages 2-2). This integrative domain organization and the observed 3D architecture underscore how structural features are harnessed by AMPKα1 to respond to metabolic signals with high specificity and sensitivity (yan2021structureofan pages 1-3).</w:t>
      </w:r>
    </w:p>
    <w:p>
      <w:pPr>
        <w:numPr>
          <w:ilvl w:val="0"/>
          <w:numId w:val="1001"/>
        </w:numPr>
      </w:pPr>
      <w:r>
        <w:t xml:space="preserve">Regulation</w:t>
      </w:r>
      <w:r>
        <w:br/>
      </w:r>
      <w:r>
        <w:t xml:space="preserve">The regulation of AMPKα1 is multifaceted and achieved through a combination of post-translational modifications, allosteric effects, and protein-protein interactions that collectively fine-tune its kinase activity (herzig2018ampkguardianof pages 3-4). A critical regulatory event is the phosphorylation of Thr172 in the activation loop of the kinase domain, predominantly catalyzed by upstream kinases such as liver kinase B1 (LKB1) and CaMKKβ; this phosphorylation is essential for the full activation of AMPKα1 (herzig2018ampkguardianof pages 3-4, jeon2016regulationandfunction pages 1-3). Binding of AMP (and to a lesser extent ADP) to the regulatory γ subunit not only allosterically activates AMPKγ but also provides protection against dephosphorylation of Thr172 by protein phosphatases, thereby prolonging the active state of the kinase (langendorf2015choreographyofampk pages 1-2, li2019ampkandautophagy pages 97-100). In addition to these phosphorylation-based mechanisms, synthetic activators such as A769662 and salicylate engage specific allosteric drug and metabolite (ADaM) sites located at the interface between the kinase domain of AMPKα1 and the carbohydrate-binding module of the β subunit, thereby enhancing the enzyme’s activity independently of the AMP/ADP levels (kurumbail2016structureandregulation pages 12-15, langendorf2015choreographyofampk pages 1-2). Furthermore, additional regulatory layers are imposed by protein conformation changes mediated by the autoinhibitory domain, whose repositioning upon AMP binding contributes to the relief of inhibition and full catalytic activation (herzig2018ampkguardianof pages 3-4). The combined effects of these mechanisms allow AMPKα1 to function as a precise energy sensor that can integrate multiple environmental cues and rapidly adjust cellular metabolism to changing energy demands (steinberg2023newinsightsinto pages 1-4).</w:t>
      </w:r>
    </w:p>
    <w:p>
      <w:pPr>
        <w:numPr>
          <w:ilvl w:val="0"/>
          <w:numId w:val="1001"/>
        </w:numPr>
      </w:pPr>
      <w:r>
        <w:t xml:space="preserve">Function</w:t>
      </w:r>
      <w:r>
        <w:br/>
      </w:r>
      <w:r>
        <w:t xml:space="preserve">AMPKα1 serves as the central metabolic sensor responsible for maintaining cellular and whole-body energy homeostasis by orchestrating the balance between energy-consuming anabolic processes and energy-generating catabolic pathways (herzig2018ampkguardianof pages 1-2). When intracellular ATP levels drop and AMP/ADP levels rise, AMPKα1 becomes activated and phosphorylates a broad array of substrates, leading to the inhibition of anabolic processes such as protein synthesis, lipid biosynthesis, and glycogen synthesis, while simultaneously stimulating pathways that generate ATP such as glucose uptake, fatty acid oxidation, and autophagy (herzig2018ampkguardianof pages 12-13, li2019ampkandautophagy pages 100-103). In liver, for example, activated AMPKα1 phosphorylates transcription regulators such as CRTC2/TORC2 to suppress gluconeogenesis, and in skeletal muscle, it promotes glucose uptake by facilitating the translocation of GLUT4 to the plasma membrane (kjøbsted2018ampkinskeletal pages 27-28, langendorf2015choreographyofampk pages 2-2). AMPKα1 also exerts long-term effects on metabolism by phosphorylating transcriptional coactivators and histone proteins, thereby influencing gene expression patterns involved in lipid metabolism, mitochondrial biogenesis, and cell growth (herzig2018ampkguardianof pages 3-4, li2019ampkandautophagy pages 299-301). In addition to its metabolic roles, AMPKα1 is involved in the regulation of autophagy by directly phosphorylating components of the autophagy machinery such as ULK1, thus promoting the clearance of damaged cellular components and supporting mitochondrial quality control (li2019ampkandautophagy pages 93-97, steinberg2023newinsightsinto pages 13-17). The phosphorylation of cell cycle regulators and modulators of mTORC1 activity further underscores its function as a key mediator of cell growth and proliferation in response to nutrient and energy availability (herzig2018ampkguardianof pages 12-13, jeon2016regulationandfunction pages 1-3). Consequently, AMPKα1 is of considerable interest not only as a regulator of energy metabolism but also as a potential therapeutic target in metabolic disorders such as type 2 diabetes, obesity, and even in cancer, where its activity can dictate cell survival under stressful conditions (ross2016amp‐activatedproteinkinase pages 7-9).</w:t>
      </w:r>
    </w:p>
    <w:p>
      <w:pPr>
        <w:numPr>
          <w:ilvl w:val="0"/>
          <w:numId w:val="1001"/>
        </w:numPr>
      </w:pPr>
      <w:r>
        <w:t xml:space="preserve">Other Comments</w:t>
      </w:r>
      <w:r>
        <w:br/>
      </w:r>
      <w:r>
        <w:t xml:space="preserve">Beyond its well‐characterized roles in metabolic regulation, AMPKα1 has been implicated in several additional biological processes and disease contexts. It exhibits tau‐protein kinase activity in response to certain stressors such as amyloid beta, although the in vivo significance of this activity remains uncertain and is subject to ongoing debate (herzig2018ampkguardianof pages 3-4). AMPKα1 is also involved in the regulation of cellular polarity and cytoskeletal rearrangements, potentially influencing processes such as cell migration through indirect activation of myosin (herzig2018ampkguardianof pages 12-13). Its function extends into the arena of transcriptional control by modulating histone phosphorylation and chromatin remodeling, thereby linking energy status to gene expression (li2019ampkandautophagy pages 97-100). Pharmacologically, several compounds have been identified as activators of AMPK, including the nucleoside analog AICAR, the small molecule A769662, and clinically used agents like metformin, which are known to stimulate AMPK activity indirectly by inhibiting mitochondrial complex I (kurumbail2016structureandregulation pages 12-15, langendorf2015choreographyofampk pages 1-2). Conversely, inhibitors such as Compound C (dorsomorphin) have been used in research settings to dissect the contributions of AMPK activity; however, issues with specificity limit their clinical utility (smiles2025ampkphosphositeprofiling pages 1-2). In cancer biology, AMPKα1 plays a dual or “Dr Jekyll and Mr Hyde” role, acting as a tumor suppressor early on by restricting anabolic growth, while in established tumors it may support cell survival under metabolic stress (varaciruelos2019thestrangecase pages 1-2, varaciruelos2019thestrangecase pages 18-19). Ongoing research is also focused on understanding how mutations in AMPK subunits—including those affecting nucleotide binding or phosphorylation sites—might contribute to metabolic diseases and other pathologies (ross2016amp‐activatedproteinkinase pages 4-6, varaciruelos2019thestrangecase pages 19-20). These additional facets highlight the versatility of AMPKα1 as both a sensor and effector in cellular metabolism and stress response, and they continue to make it a focal point of biomedical research (steinberg2023newinsightsinto pages 17-18).</w:t>
      </w:r>
    </w:p>
    <w:p>
      <w:pPr>
        <w:numPr>
          <w:ilvl w:val="0"/>
          <w:numId w:val="1001"/>
        </w:numPr>
      </w:pPr>
      <w:r>
        <w:t xml:space="preserve">References</w:t>
      </w:r>
      <w:r>
        <w:br/>
      </w:r>
    </w:p>
    <w:p>
      <w:pPr>
        <w:numPr>
          <w:ilvl w:val="0"/>
          <w:numId w:val="1001"/>
        </w:numPr>
      </w:pPr>
      <w:r>
        <w:t xml:space="preserve">herzig2018ampkguardianof pages 1-2</w:t>
      </w:r>
      <w:r>
        <w:br/>
      </w:r>
    </w:p>
    <w:p>
      <w:pPr>
        <w:numPr>
          <w:ilvl w:val="0"/>
          <w:numId w:val="1001"/>
        </w:numPr>
      </w:pPr>
      <w:r>
        <w:t xml:space="preserve">herzig2018ampkguardianof pages 3-4</w:t>
      </w:r>
      <w:r>
        <w:br/>
      </w:r>
    </w:p>
    <w:p>
      <w:pPr>
        <w:numPr>
          <w:ilvl w:val="0"/>
          <w:numId w:val="1001"/>
        </w:numPr>
      </w:pPr>
      <w:r>
        <w:t xml:space="preserve">herzig2018ampkguardianof pages 12-13</w:t>
      </w:r>
      <w:r>
        <w:br/>
      </w:r>
    </w:p>
    <w:p>
      <w:pPr>
        <w:numPr>
          <w:ilvl w:val="0"/>
          <w:numId w:val="1001"/>
        </w:numPr>
      </w:pPr>
      <w:r>
        <w:t xml:space="preserve">kjøbsted2018ampkinskeletal pages 27-28</w:t>
      </w:r>
      <w:r>
        <w:br/>
      </w:r>
    </w:p>
    <w:p>
      <w:pPr>
        <w:numPr>
          <w:ilvl w:val="0"/>
          <w:numId w:val="1001"/>
        </w:numPr>
      </w:pPr>
      <w:r>
        <w:t xml:space="preserve">kurumbail2016structureandregulation pages 4-6</w:t>
      </w:r>
      <w:r>
        <w:br/>
      </w:r>
    </w:p>
    <w:p>
      <w:pPr>
        <w:numPr>
          <w:ilvl w:val="0"/>
          <w:numId w:val="1001"/>
        </w:numPr>
      </w:pPr>
      <w:r>
        <w:t xml:space="preserve">langendorf2015choreographyofampk pages 1-2</w:t>
      </w:r>
      <w:r>
        <w:br/>
      </w:r>
    </w:p>
    <w:p>
      <w:pPr>
        <w:numPr>
          <w:ilvl w:val="0"/>
          <w:numId w:val="1001"/>
        </w:numPr>
      </w:pPr>
      <w:r>
        <w:t xml:space="preserve">li2019ampkandautophagy pages 97-100</w:t>
      </w:r>
      <w:r>
        <w:br/>
      </w:r>
    </w:p>
    <w:p>
      <w:pPr>
        <w:numPr>
          <w:ilvl w:val="0"/>
          <w:numId w:val="1001"/>
        </w:numPr>
      </w:pPr>
      <w:r>
        <w:t xml:space="preserve">li2019ampkandautophagy pages 299-301</w:t>
      </w:r>
      <w:r>
        <w:br/>
      </w:r>
    </w:p>
    <w:p>
      <w:pPr>
        <w:numPr>
          <w:ilvl w:val="0"/>
          <w:numId w:val="1001"/>
        </w:numPr>
      </w:pPr>
      <w:r>
        <w:t xml:space="preserve">ross2016amp‐activatedproteinkinase pages 7-9</w:t>
      </w:r>
      <w:r>
        <w:br/>
      </w:r>
    </w:p>
    <w:p>
      <w:pPr>
        <w:numPr>
          <w:ilvl w:val="0"/>
          <w:numId w:val="1001"/>
        </w:numPr>
      </w:pPr>
      <w:r>
        <w:t xml:space="preserve">yan2018structureandphysiological pages 4-7</w:t>
      </w:r>
      <w:r>
        <w:br/>
      </w:r>
    </w:p>
    <w:p>
      <w:pPr>
        <w:numPr>
          <w:ilvl w:val="0"/>
          <w:numId w:val="1001"/>
        </w:numPr>
      </w:pPr>
      <w:r>
        <w:t xml:space="preserve">yan2021structureofan pages 1-3</w:t>
      </w:r>
      <w:r>
        <w:br/>
      </w:r>
    </w:p>
    <w:p>
      <w:pPr>
        <w:numPr>
          <w:ilvl w:val="0"/>
          <w:numId w:val="1001"/>
        </w:numPr>
      </w:pPr>
      <w:r>
        <w:t xml:space="preserve">steinberg2023newinsightsinto pages 1-4</w:t>
      </w:r>
      <w:r>
        <w:br/>
      </w:r>
    </w:p>
    <w:p>
      <w:pPr>
        <w:numPr>
          <w:ilvl w:val="0"/>
          <w:numId w:val="1001"/>
        </w:numPr>
      </w:pPr>
      <w:r>
        <w:t xml:space="preserve">steinberg2023newinsightsinto pages 9-13</w:t>
      </w:r>
      <w:r>
        <w:br/>
      </w:r>
    </w:p>
    <w:p>
      <w:pPr>
        <w:numPr>
          <w:ilvl w:val="0"/>
          <w:numId w:val="1001"/>
        </w:numPr>
      </w:pPr>
      <w:r>
        <w:t xml:space="preserve">jeon2016regulationandfunction pages 1-3</w:t>
      </w:r>
      <w:r>
        <w:br/>
      </w:r>
    </w:p>
    <w:p>
      <w:pPr>
        <w:numPr>
          <w:ilvl w:val="0"/>
          <w:numId w:val="1001"/>
        </w:numPr>
      </w:pPr>
      <w:r>
        <w:t xml:space="preserve">smiles2025ampkphosphositeprofiling pages 1-2</w:t>
      </w:r>
      <w:r>
        <w:br/>
      </w:r>
    </w:p>
    <w:p>
      <w:pPr>
        <w:numPr>
          <w:ilvl w:val="0"/>
          <w:numId w:val="1001"/>
        </w:numPr>
      </w:pPr>
      <w:r>
        <w:t xml:space="preserve">kurumbail2016structureandregulation pages 12-15</w:t>
      </w:r>
      <w:r>
        <w:br/>
      </w:r>
    </w:p>
    <w:p>
      <w:pPr>
        <w:numPr>
          <w:ilvl w:val="0"/>
          <w:numId w:val="1001"/>
        </w:numPr>
      </w:pPr>
      <w:r>
        <w:t xml:space="preserve">langendorf2015choreographyofampk pages 2-2</w:t>
      </w:r>
      <w:r>
        <w:br/>
      </w:r>
    </w:p>
    <w:p>
      <w:pPr>
        <w:numPr>
          <w:ilvl w:val="0"/>
          <w:numId w:val="1001"/>
        </w:numPr>
      </w:pPr>
      <w:r>
        <w:t xml:space="preserve">li2019ampkandautophagy pages 93-97</w:t>
      </w:r>
      <w:r>
        <w:br/>
      </w:r>
    </w:p>
    <w:p>
      <w:pPr>
        <w:numPr>
          <w:ilvl w:val="0"/>
          <w:numId w:val="1001"/>
        </w:numPr>
      </w:pPr>
      <w:r>
        <w:t xml:space="preserve">varaciruelos2019thestrangecase pages 1-2</w:t>
      </w:r>
      <w:r>
        <w:br/>
      </w:r>
    </w:p>
    <w:p>
      <w:pPr>
        <w:numPr>
          <w:ilvl w:val="0"/>
          <w:numId w:val="1001"/>
        </w:numPr>
      </w:pPr>
      <w:r>
        <w:t xml:space="preserve">varaciruelos2019thestrangecase pages 18-19</w:t>
      </w:r>
      <w:r>
        <w:br/>
      </w:r>
    </w:p>
    <w:p>
      <w:pPr>
        <w:numPr>
          <w:ilvl w:val="0"/>
          <w:numId w:val="1001"/>
        </w:numPr>
      </w:pPr>
      <w:r>
        <w:t xml:space="preserve">varaciruelos2019thestrangecase pages 19-20</w:t>
      </w:r>
      <w:r>
        <w:br/>
      </w:r>
    </w:p>
    <w:p>
      <w:pPr>
        <w:numPr>
          <w:ilvl w:val="0"/>
          <w:numId w:val="1001"/>
        </w:numPr>
      </w:pPr>
      <w:r>
        <w:t xml:space="preserve">roustan2016anevolutionaryperspective pages 1-1</w:t>
      </w:r>
      <w:r>
        <w:br/>
      </w:r>
    </w:p>
    <w:p>
      <w:pPr>
        <w:numPr>
          <w:ilvl w:val="0"/>
          <w:numId w:val="1001"/>
        </w:numPr>
      </w:pPr>
      <w:r>
        <w:t xml:space="preserve">steinberg2023newinsightsinto pages 17-18</w:t>
      </w:r>
    </w:p>
    <w:p>
      <w:pPr>
        <w:pStyle w:val="FirstParagraph"/>
      </w:pPr>
      <w:r>
        <w:t xml:space="preserve">References</w:t>
      </w:r>
    </w:p>
    <w:p>
      <w:pPr>
        <w:numPr>
          <w:ilvl w:val="0"/>
          <w:numId w:val="1002"/>
        </w:numPr>
      </w:pPr>
      <w:r>
        <w:t xml:space="preserve">(herzig2018ampkguardianof pages 1-2):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(herzig2018ampkguardianof pages 12-13):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(herzig2018ampkguardianof pages 3-4): Sébastien Herzig and Reuben J. Shaw. Ampk: guardian of metabolism and mitochondrial homeostasis. Nature Reviews Molecular Cell Biology, 19:121-135, Oct 2018. URL: https://doi.org/10.1038/nrm.2017.95, doi:10.1038/nrm.2017.95. This article has 3546 citations and is from a domain leading peer-reviewed journal.</w:t>
      </w:r>
    </w:p>
    <w:p>
      <w:pPr>
        <w:numPr>
          <w:ilvl w:val="0"/>
          <w:numId w:val="1002"/>
        </w:numPr>
      </w:pPr>
      <w:r>
        <w:t xml:space="preserve">(kjøbsted2018ampkinskeletal pages 27-28): Rasmus Kjøbsted, Janne R. Hingst, Joachim Fentz, Marc Foretz, Maria‐Nieves Sanz, Christian Pehmøller, Michael Shum, André Marette, Remi Mounier, Jonas T. Treebak, Jørgen F. P. Wojtaszewski, Benoit Viollet, and Louise Lantier. Ampk in skeletal muscle function and metabolism. The FASEB Journal, 32:1741-1777, Jan 2018. URL: https://doi.org/10.1096/fj.201700442r, doi:10.1096/fj.201700442r. This article has 483 citations.</w:t>
      </w:r>
    </w:p>
    <w:p>
      <w:pPr>
        <w:numPr>
          <w:ilvl w:val="0"/>
          <w:numId w:val="1002"/>
        </w:numPr>
      </w:pPr>
      <w:r>
        <w:t xml:space="preserve">(kurumbail2016structureandregulation pages 12-15):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4-6):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(kurumbail2016structureandregulation pages 6-9): Ravi G. Kurumbail and Matthew F. Calabrese. Structure and regulation of ampk. Experientia Supplementum, 107:3-22, Jan 2016. URL: https://doi.org/10.1007/978-3-319-43589-3_1, doi:10.1007/978-3-319-43589-3_1. This article has 51 citations.</w:t>
      </w:r>
    </w:p>
    <w:p>
      <w:pPr>
        <w:numPr>
          <w:ilvl w:val="0"/>
          <w:numId w:val="1002"/>
        </w:numPr>
      </w:pPr>
      <w:r>
        <w:t xml:space="preserve">(langendorf2015choreographyofampk pages 1-2): Christopher G Langendorf and Bruce E Kemp. Choreography of ampk activation. Cell Research, 25:5-6, Dec 2015. URL: https://doi.org/10.1038/cr.2014.163, doi:10.1038/cr.2014.163. This article has 95 citations and is from a domain leading peer-reviewed journal.</w:t>
      </w:r>
    </w:p>
    <w:p>
      <w:pPr>
        <w:numPr>
          <w:ilvl w:val="0"/>
          <w:numId w:val="1002"/>
        </w:numPr>
      </w:pPr>
      <w:r>
        <w:t xml:space="preserve">(langendorf2015choreographyofampk pages 2-2): Christopher G Langendorf and Bruce E Kemp. Choreography of ampk activation. Cell Research, 25:5-6, Dec 2015. URL: https://doi.org/10.1038/cr.2014.163, doi:10.1038/cr.2014.163. This article has 95 citations and is from a domain leading peer-reviewed journal.</w:t>
      </w:r>
    </w:p>
    <w:p>
      <w:pPr>
        <w:numPr>
          <w:ilvl w:val="0"/>
          <w:numId w:val="1002"/>
        </w:numPr>
      </w:pPr>
      <w:r>
        <w:t xml:space="preserve">(li2019ampkandautophagy pages 100-103):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(li2019ampkandautophagy pages 299-301):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(li2019ampkandautophagy pages 97-100):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(ross2016amp‐activatedproteinkinase pages 7-9):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(steinberg2023newinsightsinto pages 1-4):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(steinberg2023newinsightsinto pages 9-13):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(yan2018structureandphysiological pages 4-7): Yan Yan, X. Edward Zhou, H. Eric Xu, and Karsten Melcher. Structure and physiological regulation of ampk. International Journal of Molecular Sciences, 19:3534, Nov 2018. URL: https://doi.org/10.3390/ijms19113534, doi:10.3390/ijms19113534. This article has 258 citations and is from a peer-reviewed journal.</w:t>
      </w:r>
    </w:p>
    <w:p>
      <w:pPr>
        <w:numPr>
          <w:ilvl w:val="0"/>
          <w:numId w:val="1002"/>
        </w:numPr>
      </w:pPr>
      <w:r>
        <w:t xml:space="preserve">(yan2021structureofan pages 1-3): Yan Yan, Somnath Mukherjee, Kaleeckal G. Harikumar, Timothy S. Strutzenberg, X. Edward Zhou, Kelly Suino-Powell, Ting-Hai Xu, Ryan D. Sheldon, Jared Lamp, Joseph S. Brunzelle, Katarzyna Radziwon, Abigail Ellis, Scott J. Novick, Irving E. Vega, Russell G. Jones, Laurence J. Miller, H. Eric Xu, Patrick R. Griffin, Anthony A. Kossiakoff, and Karsten Melcher. Structure of an ampk complex in an inactive, atp-bound state. Science, 373:413-419, Jul 2021. URL: https://doi.org/10.1126/science.abe7565, doi:10.1126/science.abe7565. This article has 88 citations and is from a highest quality peer-reviewed journal.</w:t>
      </w:r>
    </w:p>
    <w:p>
      <w:pPr>
        <w:numPr>
          <w:ilvl w:val="0"/>
          <w:numId w:val="1002"/>
        </w:numPr>
      </w:pPr>
      <w:r>
        <w:t xml:space="preserve">(jeon2016regulationandfunction pages 1-3): Sang-Min Jeon. Regulation and function of ampk in physiology and diseases. Experimental &amp; Molecular Medicine, 48:e245-e245, Jul 2016. URL: https://doi.org/10.1038/emm.2016.81, doi:10.1038/emm.2016.81. This article has 1210 citations.</w:t>
      </w:r>
    </w:p>
    <w:p>
      <w:pPr>
        <w:numPr>
          <w:ilvl w:val="0"/>
          <w:numId w:val="1002"/>
        </w:numPr>
      </w:pPr>
      <w:r>
        <w:t xml:space="preserve">(li2019ampkandautophagy pages 93-97): Yanjun Li and Yingyu Chen. Ampk and autophagy. Advances in Experimental Medicine and Biology, 1206:85-108, Jan 2019. URL: https://doi.org/10.1007/978-981-15-0602-4_4, doi:10.1007/978-981-15-0602-4_4. This article has 445 citations and is from a peer-reviewed journal.</w:t>
      </w:r>
    </w:p>
    <w:p>
      <w:pPr>
        <w:numPr>
          <w:ilvl w:val="0"/>
          <w:numId w:val="1002"/>
        </w:numPr>
      </w:pPr>
      <w:r>
        <w:t xml:space="preserve">(ross2016amp‐activatedproteinkinase pages 4-6): Fiona A. Ross, Carol MacKintosh, and D. Grahame Hardie.</w:t>
      </w:r>
      <w:r>
        <w:t xml:space="preserve"> </w:t>
      </w:r>
      <w:r>
        <w:t xml:space="preserve">amp</w:t>
      </w:r>
      <w:r>
        <w:t xml:space="preserve">‐activated protein kinase: a cellular energy sensor that comes in 12 flavours. The FEBS Journal, 283:2987-3001, Mar 2016. URL: https://doi.org/10.1111/febs.13698, doi:10.1111/febs.13698. This article has 408 citations.</w:t>
      </w:r>
    </w:p>
    <w:p>
      <w:pPr>
        <w:numPr>
          <w:ilvl w:val="0"/>
          <w:numId w:val="1002"/>
        </w:numPr>
      </w:pPr>
      <w:r>
        <w:t xml:space="preserve">(roustan2016anevolutionaryperspective pages 1-1): Valentin Roustan, Arpit Jain, Markus Teige, Ingo Ebersberger, and Wolfram Weckwerth. An evolutionary perspective of ampk–tor signaling in the three domains of life. Journal of Experimental Botany, 67:3897-3907, Jun 2016. URL: https://doi.org/10.1093/jxb/erw211, doi:10.1093/jxb/erw211. This article has 93 citations and is from a domain leading peer-reviewed journal.</w:t>
      </w:r>
    </w:p>
    <w:p>
      <w:pPr>
        <w:numPr>
          <w:ilvl w:val="0"/>
          <w:numId w:val="1002"/>
        </w:numPr>
      </w:pPr>
      <w:r>
        <w:t xml:space="preserve">(smiles2025ampkphosphositeprofiling pages 1-2): William J. Smiles, Ashley J. Ovens, Dingyi Yu, Naomi X. Y. Ling, Andrea C. Poblete Goycoolea, Kaitlin R. Morrison, Emmanuel O. Murphy, Astrid Glaser, Sophie F. Monks O’Byrne, Scott Taylor, Alistair M. Chalk, Carl R. Walkley, Luke M. McAloon, John W. Scott, Bruce E. Kemp, Ashfaqul Hoque, Christopher G. Langendorf, Janni Petersen, Sandra Galic, and Jonathan S. Oakhill. Ampk phosphosite profiling by label-free mass spectrometry reveals a multitude of mtorc1-regulated substrates. npj Metabolic Health and Disease, Mar 2025. URL: https://doi.org/10.1038/s44324-025-00052-7, doi:10.1038/s44324-025-00052-7. This article has 0 citations.</w:t>
      </w:r>
    </w:p>
    <w:p>
      <w:pPr>
        <w:numPr>
          <w:ilvl w:val="0"/>
          <w:numId w:val="1002"/>
        </w:numPr>
      </w:pPr>
      <w:r>
        <w:t xml:space="preserve">(steinberg2023newinsightsinto pages 13-17):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(steinberg2023newinsightsinto pages 17-18): Gregory R. Steinberg and D. Grahame Hardie. New insights into activation and function of the ampk. Nature Reviews Molecular Cell Biology, 24:255-272, Oct 2023. URL: https://doi.org/10.1038/s41580-022-00547-x, doi:10.1038/s41580-022-00547-x. This article has 554 citations and is from a domain leading peer-reviewed journal.</w:t>
      </w:r>
    </w:p>
    <w:p>
      <w:pPr>
        <w:numPr>
          <w:ilvl w:val="0"/>
          <w:numId w:val="1002"/>
        </w:numPr>
      </w:pPr>
      <w:r>
        <w:t xml:space="preserve">(varaciruelos2019thestrangecase pages 1-2):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p>
      <w:pPr>
        <w:numPr>
          <w:ilvl w:val="0"/>
          <w:numId w:val="1002"/>
        </w:numPr>
      </w:pPr>
      <w:r>
        <w:t xml:space="preserve">(varaciruelos2019thestrangecase pages 18-19):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p>
      <w:pPr>
        <w:numPr>
          <w:ilvl w:val="0"/>
          <w:numId w:val="1002"/>
        </w:numPr>
      </w:pPr>
      <w:r>
        <w:t xml:space="preserve">(varaciruelos2019thestrangecase pages 19-20): Diana Vara-Ciruelos, Fiona M. Russell, and D. Grahame Hardie. The strange case of ampk and cancer: dr jekyll or mr hyde?</w:t>
      </w:r>
      <w:r>
        <w:t xml:space="preserve"> </w:t>
      </w:r>
      <w:r>
        <w:t xml:space="preserve">. Open Biology, Jul 2019. URL: https://doi.org/10.1098/rsob.190099, doi:10.1098/rsob.190099. This article has 145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2025-05-22T19:23:09Z</dcterms:created>
  <dcterms:modified xsi:type="dcterms:W3CDTF">2025-05-22T19:23:09Z</dcterms:modified>
</cp:coreProperties>
</file>

<file path=docProps/custom.xml><?xml version="1.0" encoding="utf-8"?>
<Properties xmlns="http://schemas.openxmlformats.org/officeDocument/2006/custom-properties" xmlns:vt="http://schemas.openxmlformats.org/officeDocument/2006/docPropsVTypes"/>
</file>