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MAPK13, also known as mitogen‐activated protein kinase p38 delta or stress‐activated protein kinase 4 (SAPK4), is a member of the p38 mitogen‐activated protein kinase subgroup within the larger CMGC group of serine/threonine kinases. The p38 MAPK subfamily is composed of four distinct isoforms: p38α (MAPK14), p38β (MAPK11), p38γ (MAPK12), and p38δ (MAPK13). Phylogenetic studies based on comprehensive analyses of the human kinome demonstrate that all p38 isoforms share a conserved kinase domain and arose through gene duplication events early in vertebrate evolution, with orthologs of MAPK13 being detectable in a wide range of metazoans (johnson2023anatlasof pages 1-2, halwachs2023modulationofhuman pages 1-3). In addition, foundational works on kinase evolution by Manning and colleagues have established that protein kinase signaling is deeply conserved from yeast to man, placing MAPK13 within an evolutionary framework characterized by a highly preserved catalytic core and regulatory elements that have persisted to support stress‐responsive signaling (johnson2023anatlasof pages 1-2, cuadrado2010mechanismsandfunctions pages 1-1).</w:t>
      </w:r>
    </w:p>
    <w:p>
      <w:pPr>
        <w:numPr>
          <w:ilvl w:val="0"/>
          <w:numId w:val="1001"/>
        </w:numPr>
      </w:pPr>
      <w:r>
        <w:t xml:space="preserve">Reaction Catalyzed</w:t>
      </w:r>
      <w:r>
        <w:br/>
      </w:r>
      <w:r>
        <w:t xml:space="preserve">MAPK13 catalyzes the phosphorylation of serine and threonine residues on substrate proteins. The chemical reaction it mediates involves the transfer of the γ-phosphate group from ATP to a hydroxyl group on a serine or threonine residue. Formally, this reaction can be represented as:</w:t>
      </w:r>
      <w:r>
        <w:br/>
      </w:r>
      <w:r>
        <w:t xml:space="preserve">ATP + [protein]-(L-serine or L-threonine) = ADP + [protein]-(L-serine/threonine)-phosphate + H⁺</w:t>
      </w:r>
      <w:r>
        <w:br/>
      </w:r>
      <w:r>
        <w:t xml:space="preserve">This reaction has been consistently described in the literature as the key catalytic function of serine/threonine kinases including MAPK13 (darabedian2023depletionofcreatine pages 9-11, li2011dialkynylimidazolesasirreversible pages 13-19).</w:t>
      </w:r>
    </w:p>
    <w:p>
      <w:pPr>
        <w:numPr>
          <w:ilvl w:val="0"/>
          <w:numId w:val="1001"/>
        </w:numPr>
      </w:pPr>
      <w:r>
        <w:t xml:space="preserve">Cofactor Requirements</w:t>
      </w:r>
      <w:r>
        <w:br/>
      </w:r>
      <w:r>
        <w:t xml:space="preserve">The kinase activity of MAPK13 requires the presence of divalent metal ion cofactors, with Mg²⁺ being critical for its catalytic function. Mg²⁺ ions are essential because they help coordinate the binding of ATP within the kinase active site, thus facilitating the effective transfer of the phosphate group to the substrate. This cofactor requirement is characteristic of serine/threonine kinases, and experimental evidence supports that in MAPK13 the catalytic efficiency is dependent on the availability of Mg²⁺ (halwachs2023modulationofhuman pages 1-3, li2023highthroughputprofilingof pages 39-40).</w:t>
      </w:r>
    </w:p>
    <w:p>
      <w:pPr>
        <w:numPr>
          <w:ilvl w:val="0"/>
          <w:numId w:val="1001"/>
        </w:numPr>
      </w:pPr>
      <w:r>
        <w:t xml:space="preserve">Substrate Specificity</w:t>
      </w:r>
      <w:r>
        <w:br/>
      </w:r>
      <w:r>
        <w:t xml:space="preserve">MAPK13 displays substrate specificity that aligns with the proline-directed motif characteristic of the p38 MAPK family. Detailed substrate profiling using high-throughput methods has established that MAPK13 preferentially phosphorylates serine or threonine residues when they are immediately followed by a proline residue; this minimal consensus motif is typically represented as [pS/pT]P. Moreover, further analysis of the surrounding amino acid context reveals that additional flanking residues can modulate substrate affinity and contribute to a broader specificity profile. For instance, substrates including downstream kinases such as MAPKAPK2, translational regulators such as EEF2K, and cytoskeletal components including MAPT (tau protein) and STMN1 have been documented as targets. Transcription factors such as ELK1 and ATF2 also fall within the spectrum of MAPK13 substrates, underscoring a broad substrate range with estimates that the isoform may phosphorylate between 200 and 300 distinct proteins (johnson2023anatlasof pages 4-5, li2023highthroughputprofilingof pages 39-40, biswas2024theprospectof pages 1-2, halwachs2023modulationofhuman pages 3-5).</w:t>
      </w:r>
    </w:p>
    <w:p>
      <w:pPr>
        <w:numPr>
          <w:ilvl w:val="0"/>
          <w:numId w:val="1001"/>
        </w:numPr>
      </w:pPr>
      <w:r>
        <w:t xml:space="preserve">Structure</w:t>
      </w:r>
      <w:r>
        <w:br/>
      </w:r>
      <w:r>
        <w:t xml:space="preserve">The three-dimensional structure of MAPK13 conforms to the canonical bilobal kinase fold found in MAP kinases. The N-terminal lobe is primarily constructed of β-sheets and contains the ATP-binding pocket, while the larger C-terminal lobe is mainly α-helical and comprises the substrate binding groove. A defining feature is the activation loop, which contains the conserved dual phosphorylation motif (Thr-Gly-Tyr, abbreviated as TGY) that is essential for proper catalytic activation. Within the catalytic cleft, the conserved HRD motif located in the catalytic loop and the DFG motif, positioned at the beginning of the activation segment, contribute to the coordination of Mg²⁺ ions and ATP binding (halwachs2023modulationofhuman pages 5-7, johnson2023anatlasof pages 7-7, li2011dialkynylimidazolesasirreversible pages 39-42). Furthermore, the regulatory C-helix plays a crucial role in aligning key catalytic residues and ensuring the proper orientation of ATP, while a hydrophobic spine provides structural stabilization in the active conformation. High-confidence structural models from AlphaFold along with comparative crystallography of related p38 MAPK isoforms support this conserved organization and indicate that although MAPK13 does not possess unique structural domains beyond those commonly found among p38 isoforms, slight variations in surface-exposed residues may confer isoform-specific substrate interactions (johnson2023anatlasof pages 7-7, maeda2025detectingproteinhigherorder pages 13-15, li2011dialkynylimidazolesasirreversible pages 39-42).</w:t>
      </w:r>
    </w:p>
    <w:p>
      <w:pPr>
        <w:numPr>
          <w:ilvl w:val="0"/>
          <w:numId w:val="1001"/>
        </w:numPr>
      </w:pPr>
      <w:r>
        <w:t xml:space="preserve">Regulation</w:t>
      </w:r>
      <w:r>
        <w:br/>
      </w:r>
      <w:r>
        <w:t xml:space="preserve">MAPK13 is subject to tight regulatory control that is mediated primarily via post-translational modifications. The most pivotal regulatory mechanism is dual phosphorylation of its activation loop at the threonine and tyrosine residues within the TGY motif, a process carried out by upstream MAP kinase kinases (MKKs) such as MKK3 and MKK6. This dual phosphorylation reaction induces significant conformational changes within the kinase domain, transitioning MAPK13 from an inactive to an active state and permitting substrate binding (halwachs2023modulationofhuman pages 16-18, samadani2015abstract3705overcoming pages 15-21). In addition to phosphorylation, regulatory mechanisms include ubiquitination events that target specific substrates such as the transcription factor MYB for proteasomal degradation, thereby modulating downstream signal duration. Scaffold proteins also contribute to the spatial and temporal regulation of MAPK13 by organizing multicomponent signaling complexes. Such regulation ensures that MAPK13 activity is responsive to extracellular stress cues, including those generated by inflammatory cytokines and physical stressors like UV irradiation (halwachs2023modulationofhuman pages 21-25, samadani2015abstract3705overcoming pages 21-26).</w:t>
      </w:r>
    </w:p>
    <w:p>
      <w:pPr>
        <w:numPr>
          <w:ilvl w:val="0"/>
          <w:numId w:val="1001"/>
        </w:numPr>
      </w:pPr>
      <w:r>
        <w:t xml:space="preserve">Function</w:t>
      </w:r>
      <w:r>
        <w:br/>
      </w:r>
      <w:r>
        <w:t xml:space="preserve">MAPK13 serves as an essential signal transducer within the MAP kinase cascade that is activated by diverse extracellular stress signals, including pro-inflammatory cytokines and physical insults such as UV irradiation. Upon activation, MAPK13 phosphorylates a wide array of substrates that span several critical cellular processes. It directly activates downstream kinases such as MAPKAPK2, which in turn propagate phosphorylation cascades that modulate additional cellular functions (johnson2023anatlasof pages 9-10, samadani2015abstract3705overcoming pages 15-21). In the realm of protein translation regulation, MAPK13 phosphorylates and inactivates EEF2 kinase (EEF2K), thereby directly influencing the protein synthesis machinery. It also plays a crucial role in cytoskeletal remodeling through the phosphorylation of microtubule-associated proteins such as MAPT and the microtubule-destabilizing protein STMN1. In terms of gene regulation, MAPK13 phosphorylates key transcription factors, including ELK1 and ATF2, and it promotes the proteasome-dependent degradation of the transcriptional activator MYB in response to stress. Additionally, in epidermal tissues, MAPK13 is involved in the regulation of keratinocyte differentiation and apoptosis, processes that are paramount in skin homeostasis and tumorigenesis. Beyond these roles, MAPK13 participates in metabolic regulation by phosphorylating and down-regulating PRKD1, a mechanism that is critical during insulin secretion in pancreatic beta cells. The breadth of these functions emphasizes the role of MAPK13 as a central node in stress response and inflammatory signaling pathways (johnson2023anatlasof pages 4-4, samadani2015abstract3705overcoming pages 21-26, varun2023rohitukinecontentacross pages 15-16).</w:t>
      </w:r>
    </w:p>
    <w:p>
      <w:pPr>
        <w:numPr>
          <w:ilvl w:val="0"/>
          <w:numId w:val="1001"/>
        </w:numPr>
      </w:pPr>
      <w:r>
        <w:t xml:space="preserve">Other Comments</w:t>
      </w:r>
      <w:r>
        <w:br/>
      </w:r>
      <w:r>
        <w:t xml:space="preserve">Although MAPK13 is one of the less extensively studied isoforms within the p38 MAPK family, its distinctive substrate profile and regulation underscore its significance in several pathophysiological conditions. Owing to its involvement in inflammation, skin tumor development, and insulin secretion, there is a growing interest in developing specific inhibitors that can selectively target MAPK13. Currently, while several p38 MAPK inhibitors exist that affect multiple isoforms, isoform-specific inhibitors for MAPK13 remain under development due to the challenges posed by the conserved ATP-binding site among p38 family members. The potential therapeutic benefit of such inhibitors is highlighted by studies reporting improved control over cellular stress responses and inflammatory cascades when MAPK13 activity is modulated (higgins2023sarscov2hijacksp38βmapk11 pages 21-23, o’callaghan2014p38δmapkemerging pages 2-3). Moreover, substrate-based inhibitor design approaches have been proposed as an avenue to overcome the limitations inherent in ATP-competitive inhibitors, offering the promise of enhanced selectivity and reduced resistance. This is particularly relevant in contexts such as cancer and metabolic diseases, where dysregulation of MAPK13 has been implicated. No specific disease mutations have been consistently documented for MAPK13; however, its aberrant regulation is associated with conditions such as skin tumorigenesis and impaired insulin secretion, making it a candidate for diagnostic marker development and targeted therapy (biswas2024theprospectof pages 1-2, samadani2015abstract3705overcoming pages 26-31).</w:t>
      </w:r>
    </w:p>
    <w:p>
      <w:pPr>
        <w:numPr>
          <w:ilvl w:val="0"/>
          <w:numId w:val="1001"/>
        </w:numPr>
      </w:pPr>
      <w:r>
        <w:t xml:space="preserve">References</w:t>
      </w:r>
      <w:r>
        <w:br/>
      </w:r>
      <w:r>
        <w:t xml:space="preserve">Anandakrishnan, 2023ksfinder—aknowledgegraph pages 24-25; Biswas, 2024theprospectof pages 1-2; Cerezoguisado, 2011mapk13(mitogenactivatedprotein pages 1-2, 3-4); Darabedian, 2023depletionofcreatine pages 9-11; Halwachs, 2023modulationofhuman pages 1-3, 3-5, 5-7, 16-18, 21-25; Han, 2020anoverviewof pages 14-14; Higgins, 2023sarscov2hijacksp38βmapk11 pages 2-6, 21-23; Jiang, 2024illuminatingthedark pages 13-15; Jiang, 2025decipheringthedark pages 15-16; Johnson, 2023anatlasof pages 1-2, 3-4, 4-4, 4-5, 6-7, 7-7, 9-10, 12-18, 21-23; Klomp, 2024determiningtheerkregulated pages 31-32; Li, 2011dialkynylimidazolesasirreversible pages 13-19, 39-42; Li, 2023highthroughputprofilingof pages 34-35, 39-40; Maeda, 2025detectingproteinhigherorder pages 13-15, 27-28; O’Boyle, 2025anatlasof pages 1-5; O’Callaghan, 2014p38δmapkemerging pages 2-3, 7-8; Poll, 2024aresourcedatabase pages 11-12; Roche, 2020p38βandcancer pages 8-10; Samadani, 2015abstract3705overcoming pages 15-21, 21-26, 26-31; Varun, 2023rohitukinecontentacross pages 15-16; Wu, 2024mapk13controlsstructural pages 10-12; Yaron-Barir, 2024theintrinsicsubstrate pages 7-8, 8-8, 10-11; Yurtsever, 2015thecrystalstructure pages 1-2, 9-10; Zhang, 2024afirstinkindmapk13 pages 1-4; Anton, 2021aspecialview pages 16-16; Cuadrado, 2010mechanismsandfunctions pages 1-1.</w:t>
      </w:r>
    </w:p>
    <w:p>
      <w:pPr>
        <w:pStyle w:val="FirstParagraph"/>
      </w:pPr>
      <w:r>
        <w:t xml:space="preserve">References</w:t>
      </w:r>
    </w:p>
    <w:p>
      <w:pPr>
        <w:numPr>
          <w:ilvl w:val="0"/>
          <w:numId w:val="1002"/>
        </w:numPr>
      </w:pPr>
      <w:r>
        <w:t xml:space="preserve">(biswas2024theprospectof pages 1-2): Biswajit Biswas, Yen-Hua Huang, David J. Craik, and Conan K. Wang. The prospect of substrate-based kinase inhibitors to improve target selectivity and overcome drug resistance. Chemical Science, 15:13130-13147, Jul 2024. URL: https://doi.org/10.1039/d4sc01088d, doi:10.1039/d4sc01088d. This article has 2 citations and is from a highest quality peer-reviewed journal.</w:t>
      </w:r>
    </w:p>
    <w:p>
      <w:pPr>
        <w:numPr>
          <w:ilvl w:val="0"/>
          <w:numId w:val="1002"/>
        </w:numPr>
      </w:pPr>
      <w:r>
        <w:t xml:space="preserve">(darabedian2023depletionofcreatine pages 9-11): Narek Darabedian, Wenzhi Ji, Mengyang Fan, Shan Lin, Hyuk-Soo Seo, Ekaterina V. Vinogradova, Tomer M. Yaron, Evanna L. Mills, Haopeng Xiao, Kristine Senkane, Emily M. Huntsman, Jared L. Johnson, Jianwei Che, Lewis C. Cantley, Benjamin F. Cravatt, Sirano Dhe-Paganon, Kimberly Stegmaier, Tinghu Zhang, Nathanael S. Gray, and Edward T. Chouchani. Depletion of creatine phosphagen energetics with a covalent creatine kinase inhibitor. Nature Chemical Biology, 19:815-824, Feb 2023. URL: https://doi.org/10.1038/s41589-023-01273-x, doi:10.1038/s41589-023-01273-x. This article has 36 citations and is from a highest quality peer-reviewed journal.</w:t>
      </w:r>
    </w:p>
    <w:p>
      <w:pPr>
        <w:numPr>
          <w:ilvl w:val="0"/>
          <w:numId w:val="1002"/>
        </w:numPr>
      </w:pPr>
      <w:r>
        <w:t xml:space="preserve">(halwachs2023modulationofhuman pages 1-3): Bettina Halwachs, Christina S. Moesslacher, Johanna M. Kohlmayr, Sandra Fasching, Sarah Masser, Sébastien A. Choteau, Andreas Zanzoni, Natalia Kunowska, and Ulrich Stelzl. Modulation of human kinase activity through direct interaction with sars-cov-2 proteins. bioRxiv, Dec 2023. URL: https://doi.org/10.1101/2023.11.27.568816, doi:10.1101/2023.11.27.568816. This article has 0 citations.</w:t>
      </w:r>
    </w:p>
    <w:p>
      <w:pPr>
        <w:numPr>
          <w:ilvl w:val="0"/>
          <w:numId w:val="1002"/>
        </w:numPr>
      </w:pPr>
      <w:r>
        <w:t xml:space="preserve">(halwachs2023modulationofhuman pages 16-18): Bettina Halwachs, Christina S. Moesslacher, Johanna M. Kohlmayr, Sandra Fasching, Sarah Masser, Sébastien A. Choteau, Andreas Zanzoni, Natalia Kunowska, and Ulrich Stelzl. Modulation of human kinase activity through direct interaction with sars-cov-2 proteins. bioRxiv, Dec 2023. URL: https://doi.org/10.1101/2023.11.27.568816, doi:10.1101/2023.11.27.568816. This article has 0 citations.</w:t>
      </w:r>
    </w:p>
    <w:p>
      <w:pPr>
        <w:numPr>
          <w:ilvl w:val="0"/>
          <w:numId w:val="1002"/>
        </w:numPr>
      </w:pPr>
      <w:r>
        <w:t xml:space="preserve">(halwachs2023modulationofhuman pages 21-25): Bettina Halwachs, Christina S. Moesslacher, Johanna M. Kohlmayr, Sandra Fasching, Sarah Masser, Sébastien A. Choteau, Andreas Zanzoni, Natalia Kunowska, and Ulrich Stelzl. Modulation of human kinase activity through direct interaction with sars-cov-2 proteins. bioRxiv, Dec 2023. URL: https://doi.org/10.1101/2023.11.27.568816, doi:10.1101/2023.11.27.568816. This article has 0 citations.</w:t>
      </w:r>
    </w:p>
    <w:p>
      <w:pPr>
        <w:numPr>
          <w:ilvl w:val="0"/>
          <w:numId w:val="1002"/>
        </w:numPr>
      </w:pPr>
      <w:r>
        <w:t xml:space="preserve">(halwachs2023modulationofhuman pages 3-5): Bettina Halwachs, Christina S. Moesslacher, Johanna M. Kohlmayr, Sandra Fasching, Sarah Masser, Sébastien A. Choteau, Andreas Zanzoni, Natalia Kunowska, and Ulrich Stelzl. Modulation of human kinase activity through direct interaction with sars-cov-2 proteins. bioRxiv, Dec 2023. URL: https://doi.org/10.1101/2023.11.27.568816, doi:10.1101/2023.11.27.568816. This article has 0 citations.</w:t>
      </w:r>
    </w:p>
    <w:p>
      <w:pPr>
        <w:numPr>
          <w:ilvl w:val="0"/>
          <w:numId w:val="1002"/>
        </w:numPr>
      </w:pPr>
      <w:r>
        <w:t xml:space="preserve">(halwachs2023modulationofhuman pages 5-7): Bettina Halwachs, Christina S. Moesslacher, Johanna M. Kohlmayr, Sandra Fasching, Sarah Masser, Sébastien A. Choteau, Andreas Zanzoni, Natalia Kunowska, and Ulrich Stelzl. Modulation of human kinase activity through direct interaction with sars-cov-2 proteins. bioRxiv, Dec 2023. URL: https://doi.org/10.1101/2023.11.27.568816, doi:10.1101/2023.11.27.568816. This article has 0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(li2011dialkynylimidazolesasirreversible pages 13-19): J Li. Dialkynylimidazoles as irreversible mapk inhibitors, kinase docking site probes, and anti-cancer agents. Unknown journal, 2011.</w:t>
      </w:r>
    </w:p>
    <w:p>
      <w:pPr>
        <w:numPr>
          <w:ilvl w:val="0"/>
          <w:numId w:val="1002"/>
        </w:numPr>
      </w:pPr>
      <w:r>
        <w:t xml:space="preserve">(li2011dialkynylimidazolesasirreversible pages 39-42): J Li. Dialkynylimidazoles as irreversible mapk inhibitors, kinase docking site probes, and anti-cancer agents. Unknown journal, 2011.</w:t>
      </w:r>
    </w:p>
    <w:p>
      <w:pPr>
        <w:numPr>
          <w:ilvl w:val="0"/>
          <w:numId w:val="1002"/>
        </w:numPr>
      </w:pPr>
      <w:r>
        <w:t xml:space="preserve">(li2023highthroughputprofilingof pages 39-40): Allyson Li, Rashmi Voleti, Minhee Lee, Dejan Gagoski, and Neel H Shah. High-throughput profiling of sequence recognition by tyrosine kinases and sh2 domains using bacterial peptide display. eLife, Mar 2023. URL: https://doi.org/10.7554/elife.82345, doi:10.7554/elife.82345. This article has 20 citations and is from a domain leading peer-reviewed journal.</w:t>
      </w:r>
    </w:p>
    <w:p>
      <w:pPr>
        <w:numPr>
          <w:ilvl w:val="0"/>
          <w:numId w:val="1002"/>
        </w:numPr>
      </w:pPr>
      <w:r>
        <w:t xml:space="preserve">(o’callaghan2014p38δmapkemerging pages 2-3): Carol O’Callaghan, Liam J. Fanning, and Orla P. Barry. P38δ mapk: emerging roles of a neglected isoform. International Journal of Cell Biology, Sep 2014. URL: https://doi.org/10.1155/2014/272689, doi:10.1155/2014/272689. This article has 40 citations and is from a peer-reviewed journal.</w:t>
      </w:r>
    </w:p>
    <w:p>
      <w:pPr>
        <w:numPr>
          <w:ilvl w:val="0"/>
          <w:numId w:val="1002"/>
        </w:numPr>
      </w:pPr>
      <w:r>
        <w:t xml:space="preserve">(samadani2015abstract3705overcoming pages 15-21): Ramin Samadani, Kwan‐Young Jung, Jun Zhang, Alexander MacKerell, Steven Fletcher, and Paul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(samadani2015abstract3705overcoming pages 21-26): Ramin Samadani, Kwan‐Young Jung, Jun Zhang, Alexander MacKerell, Steven Fletcher, and Paul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(samadani2015abstract3705overcoming pages 26-31): Ramin Samadani, Kwan‐Young Jung, Jun Zhang, Alexander MacKerell, Steven Fletcher, and Paul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(varun2023rohitukinecontentacross pages 15-16): E. Varun, K. Bhakti, K. Aishwarya, R Hosur Suraj, M.R. Jagadish, and P. Mohana Kumara. Rohitukine content across the geographical distribution of dysoxylum binectariferum hook f. and its natural derivatives as potential sources of cdk inhibitors. Heliyon, 9:e13469, Feb 2023. URL: https://doi.org/10.1016/j.heliyon.2023.e13469, doi:10.1016/j.heliyon.2023.e13469. This article has 6 citations and is from a peer-reviewed journal.</w:t>
      </w:r>
    </w:p>
    <w:p>
      <w:pPr>
        <w:numPr>
          <w:ilvl w:val="0"/>
          <w:numId w:val="1002"/>
        </w:numPr>
      </w:pPr>
      <w:r>
        <w:t xml:space="preserve">(cuadrado2010mechanismsandfunctions pages 1-1): Ana Cuadrado and Angel R. Nebreda. Mechanisms and functions of p38 mapk signalling. The Biochemical journal, 429 3:403-17, Aug 2010. URL: https://doi.org/10.1042/bj20100323, doi:10.1042/bj20100323. This article has 2098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