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MAPK15, also known as ERK7 or ERK8, is classified as an atypical mitogen‐activated protein kinase that diverges from the canonical ERK1/2, p38, JNK and ERK5 subfamilies. Unlike the classical MAPKs that are activated through three‐tier kinase cascades (MAP3K → MAP2K → MAPK), MAPK15 occupies an evolutionarily distinct branch of the MAPK family that appears to have diverged early from the ancestral MAPK lineage. Sequence analyses indicate that mammalian ERK8 (MAPK15) shares approximately 69% amino acid identity with its rat ortholog ERK7, yet the divergence is greater than that seen with typical ortholog pairs, suggesting that MAPK15/ERK7/ERK8 represents a distinct evolutionary entity within the CMGC group—that is, the group of kinases that includes cyclin‐dependent, MAP and glycogen synthase kinases. This kinase is conserved across a wide range of eukaryotes, and its orthologs have been identified not only in mammals but also in early‐branching unicellular organisms and in apicomplexan parasites, where related atypical MAPKs (often referred to using similar names such as ERK7) have been implicated in functions like daughter cell budding and ciliogenesis. Thus, within the kinome, MAPK15 is part of a specialized and evolutionarily ancient subgroup that exhibits unique regulatory and structural features compared to conventional MAPKs (cargnello2011activationandfunction pages 6-8, dahm2025atypicalmapksin pages 1-3, o’shaughnessy2022notyourmother’s pages 2-5).</w:t>
      </w:r>
    </w:p>
    <w:p>
      <w:pPr>
        <w:numPr>
          <w:ilvl w:val="0"/>
          <w:numId w:val="1001"/>
        </w:numPr>
      </w:pPr>
      <w:r>
        <w:t xml:space="preserve">Reaction Catalyzed</w:t>
      </w:r>
      <w:r>
        <w:br/>
      </w:r>
      <w:r>
        <w:t xml:space="preserve">MAPK15 functions as a protein serine/threonine kinase that catalyzes the transfer of a phosphate group from adenosine triphosphate (ATP) to specific serine or threonine residues in substrate proteins. The canonical reaction can be summarized as: ATP + [protein]-(L-serine or L-threonine) → ADP + [protein]-(phospho-L-serine/threonine) + H⁺. Although the detailed reaction mechanism is typical of the MAPK family—with the kinase domain adopting an active conformation upon phosphorylation of the activation loop—the precise substrates and the consensus sequence recognized by MAPK15 remain incompletely defined. In vitro studies have demonstrated that MAPK15 can phosphorylate substrates such as myelin basic protein (MBP) and transcription factors such as FOS; additionally, phosphorylation of c-Jun and potentially other proline-directed motifs has been observed, which is in line with the general substrate specificity seen among MAP kinases (klevernic2006characterizationofthe pages 1-2, abe1999extracellularsignalregulatedkinase pages 10-11). However, physiological substrates that reliably reflect its true cellular functions are still a matter of ongoing investigation (cargnello2011activationandfunction pages 8-9).</w:t>
      </w:r>
    </w:p>
    <w:p>
      <w:pPr>
        <w:numPr>
          <w:ilvl w:val="0"/>
          <w:numId w:val="1001"/>
        </w:numPr>
      </w:pPr>
      <w:r>
        <w:t xml:space="preserve">Cofactor Requirements</w:t>
      </w:r>
      <w:r>
        <w:br/>
      </w:r>
      <w:r>
        <w:t xml:space="preserve">As with many protein kinases, the catalytic activity of MAPK15 is dependent on the presence of ATP and divalent metal ions. ATP serves as the phosphoryl donor in the reaction, while metal ions—most notably Mg²⁺—are required to stabilize the phosphate groups of ATP in the kinase active site. The Mg²⁺ ion coordinates with conserved residues in the catalytic domain, facilitating the proper orientation of ATP and the substrate for efficient phosphotransfer. Although no unusual cofactors have been reported for MAPK15, these general cofactor requirements (ATP and Mg²⁺) are a common feature of serine/threonine kinases within the CMGC group (nguyen2015coconservedmapkfeatures pages 6-8, huang2024reconstructingthedeep pages 1-3).</w:t>
      </w:r>
    </w:p>
    <w:p>
      <w:pPr>
        <w:numPr>
          <w:ilvl w:val="0"/>
          <w:numId w:val="1001"/>
        </w:numPr>
      </w:pPr>
      <w:r>
        <w:t xml:space="preserve">Substrate Specificity</w:t>
      </w:r>
      <w:r>
        <w:br/>
      </w:r>
      <w:r>
        <w:t xml:space="preserve">The substrate specificity of MAPK15 has not been as rigorously defined as that of classical MAPKs. In vitro experiments have shown that MAPK15 phosphorylates classical MAPK substrates, including myelin basic protein (MBP) and the transcription factor FOS. In some studies, phosphorylation of c-Jun on key serine residues was also observed, suggesting that MAPK15 may recognize phosphorylation motifs analogous to the proline-directed consensus motifs (Ser/Thr followed by proline) found in other MAP kinases. This preference for S/T-P motifs is consistent with the substrate recognition pattern observed in the MAPK family, although the unique structural features of MAPK15—including its atypical activation loop and extended C-terminal domain—could impart additional substrate selectivity. Despite these in vitro findings, the validation of endogenous substrates has proven challenging; indeed, only a limited number of physiological substrates have been firmly associated with MAPK15 in vivo. As a result, while its potential to phosphorylate proline-directed substrates is evident, the detailed consensus sequence that confers substrate specificity remains under active research (dahm2025atypicalmapksin pages 7-8, klevernic2006characterizationofthe pages 1-2, cargnello2011activationandfunction pages 8-9).</w:t>
      </w:r>
    </w:p>
    <w:p>
      <w:pPr>
        <w:numPr>
          <w:ilvl w:val="0"/>
          <w:numId w:val="1001"/>
        </w:numPr>
      </w:pPr>
      <w:r>
        <w:t xml:space="preserve">Structure</w:t>
      </w:r>
      <w:r>
        <w:br/>
      </w:r>
      <w:r>
        <w:t xml:space="preserve">MAPK15 features a canonical serine/threonine kinase domain characteristic of the MAPK family, displaying the conserved catalytic motifs necessary for ATP binding and phosphoryl transfer. A key structural hallmark is the presence of the TEY motif within its activation loop, which is subject to autophosphorylation—a mechanism that appears to be the primary means of activation for this atypical kinase. Unique to MAPK15 is a long C-terminal extension that is absent in classical MAPKs; this extension is thought to play important roles in dictating subcellular localization, regulating autoactivation, and mediating protein-protein interactions with partners such as chromatin-associated factors and proliferating cell nuclear antigen (PCNA). Additionally, the N-terminal region contains signals that target MAPK15 for ubiquitin-proteasome-mediated degradation, thereby influencing its cellular abundance and functional output. Structural predictions, including those from Alphafold-based models, indicate that the C-terminal extension is likely to be intrinsically disordered, which might facilitate its interaction with a range of regulatory proteins. Despite the absence of high-resolution crystal structures for the full-length protein, the conserved kinase domain bears the typical bilobal structure observed in MAP kinases, with critical residues including the ATP-binding lysine and other motifs (such as the HRD and DFG motifs) being preserved. These features underscore the dual nature of MAPK15: while its catalytic core aligns with that of conventional MAPKs, its flanking regions confer unique regulatory properties (cargnello2011activationandfunction pages 6-8, dahm2025atypicalmapksin pages 7-8, huang2024reconstructingthedeep pages 14-16).</w:t>
      </w:r>
    </w:p>
    <w:p>
      <w:pPr>
        <w:numPr>
          <w:ilvl w:val="0"/>
          <w:numId w:val="1001"/>
        </w:numPr>
      </w:pPr>
      <w:r>
        <w:t xml:space="preserve">Regulation</w:t>
      </w:r>
      <w:r>
        <w:br/>
      </w:r>
      <w:r>
        <w:t xml:space="preserve">The regulation of MAPK15 is multifaceted, relying on mechanisms that are distinct from the canonical MAPK cascade. A major regulatory mechanism involves autophosphorylation of the TEY motif within the activation loop, which is thought to confer constitutive kinase activity in some contexts. This autoactivation bypasses the need for phosphorylation by upstream MAP2Ks, a feature that sets MAPK15 apart from conventional MAPKs that require a three-tiered activation cascade. In addition to autophosphorylation, MAPK15 is subject to regulation by the ubiquitin-proteasome system. The N-terminal region of the kinase contains sequences that target it for ubiquitination, leading to rapid turnover and a relatively short half-life under basal conditions. Moreover, the unique C-terminal extension not only influences subcellular localization—enabling nuclear translocation via embedded nuclear localization signals—but also modulates interactions with other regulatory proteins. For instance, binding to PCNA through its C-terminal motifs has been shown to protect genomic integrity by preventing MDM2-mediated PCNA degradation. External stimuli, such as serum, oxidative stress (e.g., H₂O₂ treatment), and amino acid starvation, further modulate MAPK15 activity and localization, thereby linking it to cellular stress responses and metabolic regulation. Although the identity of upstream activators remains largely unknown, these regulatory inputs together suggest a complex network involving post-translational modifications (phosphorylation, ubiquitination) and protein–protein interactions that fine-tune MAPK15 activity (cargnello2011activationandfunction pages 6-8, dahm2025atypicalmapksin pages 7-8, klevernic2006characterizationofthe pages 1-2, o’shaughnessy2022notyourmother’s pages 7-8).</w:t>
      </w:r>
    </w:p>
    <w:p>
      <w:pPr>
        <w:numPr>
          <w:ilvl w:val="0"/>
          <w:numId w:val="1001"/>
        </w:numPr>
      </w:pPr>
      <w:r>
        <w:t xml:space="preserve">Function</w:t>
      </w:r>
      <w:r>
        <w:br/>
      </w:r>
      <w:r>
        <w:t xml:space="preserve">MAPK15 plays diverse and critical roles in cell physiology that are executed in both kinase activity-dependent and -independent manners. Its functions encompass the regulation of autophagy, primary cilium formation, intracellular protein trafficking, and the maintenance of genome integrity. In the context of autophagy, MAPK15 interacts with autophagy-related proteins such as GABARAP, MAP1LC3B, and GABARAPL1. Through these interactions, it promotes the formation of autophagosomes, facilitates SQSTM1 degradation, and reduces inhibitory phosphorylation of MAP1LC3B, thereby modulating both basal autophagy and starvation-induced autophagy. MAPK15 also has a pivotal role in ciliogenesis—it governs not only the formation of the primary cilium but also the proper localization of ciliary proteins that are essential for cilium structure, transport, and signal transduction. In addition, MAPK15 appears to restrict the production of sugar-coated proteins by preventing the mislocalization of glycosylation enzymes; by inhibiting their relocation from the Golgi apparatus to the endoplasmic reticulum, MAPK15 thereby confines the production of certain glycoproteins. Under conditions of amino acid starvation, MAPK15 mediates the disassembly of transitional endoplasmic reticulum sites and concomitantly inhibits secretion. Moreover, MAPK15 binds to chromatin and interacts with PCNA; this interaction is significant for safeguarding genome stability by preventing the MDM2-mediated degradation of PCNA, which is a central component of the DNA replication and repair machinery. Additional reports indicate that MAPK15 can regulate dopamine transporter (DAT) activity via activation of RhoA and modulate mRNA stability—specifically, in response to H₂O₂ treatment, it phosphorylates ELAVL1, thereby interfering with PDCD4 mRNA binding and promoting its degradation. There is also evidence suggesting a role in oocyte maturation where it contributes to microtubule organization and meiotic cell cycle progression. Collectively, these multiple roles implicate MAPK15 as an important integrator of cellular stress responses, metabolic control, and cell cycle regulation (dahm2025atypicalmapksin pages 1-3, o’shaughnessy2022notyourmother’s pages 8-10, cargnello2011activationandfunction pages 6-8).</w:t>
      </w:r>
    </w:p>
    <w:p>
      <w:pPr>
        <w:numPr>
          <w:ilvl w:val="0"/>
          <w:numId w:val="1001"/>
        </w:numPr>
      </w:pPr>
      <w:r>
        <w:t xml:space="preserve">Other Comments</w:t>
      </w:r>
      <w:r>
        <w:br/>
      </w:r>
      <w:r>
        <w:t xml:space="preserve">Despite its recognized importance, there remains a significant gap in the availability of specific inhibitors targeting MAPK15. To date, no highly selective catalytic inhibitors for MAPK15 have been thoroughly validated, which hampers experimental dissection of its functions and limits its development as a therapeutic target. Some non-specific inhibitors, such as Ro 318220, have been reported to impede MAPK15 activity in vitro; however, this compound also affects related kinases, and its use requires cautious interpretation (klevernic2006characterizationofthe pages 1-2). In terms of disease associations, emerging evidence from recent studies suggests that dysregulation of MAPK15 could contribute to carcinogenesis. For example, alterations in MAPK15 expression or activity have been linked to breast, colon, osteosarcoma, and gastric cancers, where its roles in cell proliferation and genomic stability are particularly impactful. Additionally, the involvement of MAPK15 in autophagy, ciliogenesis, and intracellular trafficking may have broader implications in neurodegenerative disorders and metabolic diseases. Notably, MAPK15 can function in a kinase activity-independent manner as a negative regulator of cell growth, indicating that its effects on cell proliferation might be context-dependent. Although mutations specifically affecting MAPK15 have not been extensively characterized, alterations in its regulatory domains—especially those that mediate protein degradation or subcellular localization—could potentially result in pathogenic outcomes. Current areas of active research include the identification of bona fide in vivo substrates, the elucidation of its upstream regulatory pathways, and the development of more selective chemical probes or inhibitors that can modulate its activity for therapeutic benefit (dahm2025atypicalmapksin pages 7-8, mezentsev2024acomprehensivereview pages 11-13, orand2023revealingthemechanism pages 38-41).</w:t>
      </w:r>
    </w:p>
    <w:p>
      <w:pPr>
        <w:numPr>
          <w:ilvl w:val="0"/>
          <w:numId w:val="1001"/>
        </w:numPr>
      </w:pPr>
      <w:r>
        <w:t xml:space="preserve">References</w:t>
      </w:r>
      <w:r>
        <w:br/>
      </w:r>
      <w:r>
        <w:t xml:space="preserve">cargnello2011activationandfunction pages 6-8,</w:t>
      </w:r>
      <w:r>
        <w:br/>
      </w:r>
      <w:r>
        <w:t xml:space="preserve">cargnello2011activationandfunction pages 1-1,</w:t>
      </w:r>
      <w:r>
        <w:br/>
      </w:r>
      <w:r>
        <w:t xml:space="preserve">dahm2025atypicalmapksin pages 1-3,</w:t>
      </w:r>
      <w:r>
        <w:br/>
      </w:r>
      <w:r>
        <w:t xml:space="preserve">dahm2025atypicalmapksin pages 7-8,</w:t>
      </w:r>
      <w:r>
        <w:br/>
      </w:r>
      <w:r>
        <w:t xml:space="preserve">dahm2025atypicalmapksin pages 13-14,</w:t>
      </w:r>
      <w:r>
        <w:br/>
      </w:r>
      <w:r>
        <w:t xml:space="preserve">klevernic2006characterizationofthe pages 1-2,</w:t>
      </w:r>
      <w:r>
        <w:br/>
      </w:r>
      <w:r>
        <w:t xml:space="preserve">o’shaughnessy2022notyourmother’s pages 2-5,</w:t>
      </w:r>
      <w:r>
        <w:br/>
      </w:r>
      <w:r>
        <w:t xml:space="preserve">o’shaughnessy2022notyourmother’s pages 7-8,</w:t>
      </w:r>
      <w:r>
        <w:br/>
      </w:r>
      <w:r>
        <w:t xml:space="preserve">o’shaughnessy2022notyourmother’s pages 8-10,</w:t>
      </w:r>
      <w:r>
        <w:br/>
      </w:r>
      <w:r>
        <w:t xml:space="preserve">abe1999extracellularsignalregulatedkinase pages 10-11,</w:t>
      </w:r>
      <w:r>
        <w:br/>
      </w:r>
      <w:r>
        <w:t xml:space="preserve">chowdhury2023cmgckinasesin pages 6-8,</w:t>
      </w:r>
      <w:r>
        <w:br/>
      </w:r>
      <w:r>
        <w:t xml:space="preserve">huang2024reconstructingthedeep pages 1-3,</w:t>
      </w:r>
      <w:r>
        <w:br/>
      </w:r>
      <w:r>
        <w:t xml:space="preserve">huang2024reconstructingthedeep pages 14-16,</w:t>
      </w:r>
      <w:r>
        <w:br/>
      </w:r>
      <w:r>
        <w:t xml:space="preserve">nagy2015activationofatmpk9 pages 1-3,</w:t>
      </w:r>
      <w:r>
        <w:br/>
      </w:r>
      <w:r>
        <w:t xml:space="preserve">nguyen2015coconservedmapkfeatures pages 6-8,</w:t>
      </w:r>
      <w:r>
        <w:br/>
      </w:r>
      <w:r>
        <w:t xml:space="preserve">nguyen2015coconservedmapkfeatures pages 19-21,</w:t>
      </w:r>
      <w:r>
        <w:br/>
      </w:r>
      <w:r>
        <w:t xml:space="preserve">orand2023revealingthemechanism pages 38-41,</w:t>
      </w:r>
      <w:r>
        <w:br/>
      </w:r>
      <w:r>
        <w:t xml:space="preserve">mezentsev2024acomprehensivereview pages 11-13,</w:t>
      </w:r>
      <w:r>
        <w:br/>
      </w:r>
      <w:r>
        <w:t xml:space="preserve">rasl2023regulationofepithelial pages 9-13,</w:t>
      </w:r>
      <w:r>
        <w:br/>
      </w:r>
      <w:r>
        <w:t xml:space="preserve">al2015identificationofnovel pages 13-16.</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(dahm2025atypicalmapksin pages 13-14):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(dahm2025atypicalmapksin pages 7-8):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(klevernic2006characterizationofthe pages 1-2): Iva V. Klevernic, Margaret J. Stafford, Nicholas Morrice, Mark Peggie, Simon Morton, and Philip Cohen. Characterization of the reversible phosphorylation and activation of erk8. The Biochemical journal, 394 Pt 1:365-73, Feb 2006. URL: https://doi.org/10.1042/bj20051288, doi:10.1042/bj20051288. This article has 60 citations.</w:t>
      </w:r>
    </w:p>
    <w:p>
      <w:pPr>
        <w:numPr>
          <w:ilvl w:val="0"/>
          <w:numId w:val="1002"/>
        </w:numPr>
      </w:pPr>
      <w:r>
        <w:t xml:space="preserve">(o’shaughnessy2022notyourmother’s pages 2-5):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(abe1999extracellularsignalregulatedkinase pages 10-11): Mark K. Abe, Wen-Liang Kuo, Marc B. Hershenson, and Marsha Rich Rosner. Extracellular signal-regulated kinase 7 (erk7), a novel erk with a c-terminal domain that regulates its activity, its cellular localization, and cell growth. Molecular and Cellular Biology, 19:1301-1312, Feb 1999. URL: https://doi.org/10.1128/mcb.19.2.1301, doi:10.1128/mcb.19.2.1301. This article has 150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(nagy2015activationofatmpk9 pages 1-3): S. Nagy, Z. Darula, B. M. Kállai, L. Bögre, G. Bánhegyi, K. Medzihradszky, G. Horváth, and T. Mészáros. Activation of atmpk9 through autophosphorylation that makes it independent of the canonical mapk cascades. The Biochemical journal, 467 1:167-75, Apr 2015. URL: https://doi.org/10.1042/bj20141176, doi:10.1042/bj20141176. This article has 38 citations.</w:t>
      </w:r>
    </w:p>
    <w:p>
      <w:pPr>
        <w:numPr>
          <w:ilvl w:val="0"/>
          <w:numId w:val="1002"/>
        </w:numPr>
      </w:pPr>
      <w:r>
        <w:t xml:space="preserve">(nguyen2015coconservedmapkfeatures pages 6-8): T. Nguyen, Z. Ruan, Krishnadev Oruganty, and N. Kannan. Co-conserved mapk features couple d-domain docking groove to distal allosteric sites via the c-terminal flanking tail. PLoS ONE, Mar 2015. URL: https://doi.org/10.1371/journal.pone.0119636, doi:10.1371/journal.pone.0119636. This article has 28 citations and is from a peer-reviewed journal.</w:t>
      </w:r>
    </w:p>
    <w:p>
      <w:pPr>
        <w:numPr>
          <w:ilvl w:val="0"/>
          <w:numId w:val="1002"/>
        </w:numPr>
      </w:pPr>
      <w:r>
        <w:t xml:space="preserve">(o’shaughnessy2022notyourmother’s pages 7-8):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(o’shaughnessy2022notyourmother’s pages 8-10):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(rasl2023regulationofepithelial pages 9-13): J Rasl. Regulation of epithelial plasticity by erk1 and erk2 isoforms. Unknown journal, 2023.</w:t>
      </w:r>
    </w:p>
    <w:p>
      <w:pPr>
        <w:numPr>
          <w:ilvl w:val="0"/>
          <w:numId w:val="1002"/>
        </w:numPr>
      </w:pPr>
      <w:r>
        <w:t xml:space="preserve">(al2015identificationofnovel pages 13-16): R Al. Identification of novel roles and new modes of regulation for the atypical map kinases erk3 and erk4. Unknown journal, 2015.</w:t>
      </w:r>
    </w:p>
    <w:p>
      <w:pPr>
        <w:numPr>
          <w:ilvl w:val="0"/>
          <w:numId w:val="1002"/>
        </w:numPr>
      </w:pPr>
      <w:r>
        <w:t xml:space="preserve">(mezentsev2024acomprehensivereview pages 11-13): Alexandre Mezentsev, Mikhail Durymanov, and Vladimir A. Makarov. A comprehensive review of protein biomarkers for invasive lung cancer. Current Oncology, 31:4818-4854, Aug 2024. URL: https://doi.org/10.3390/curroncol31090360, doi:10.3390/curroncol31090360. This article has 2 citations and is from a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(nguyen2015coconservedmapkfeatures pages 19-21): T. Nguyen, Z. Ruan, Krishnadev Oruganty, and N. Kannan. Co-conserved mapk features couple d-domain docking groove to distal allosteric sites via the c-terminal flanking tail. PLoS ONE, Mar 2015. URL: https://doi.org/10.1371/journal.pone.0119636, doi:10.1371/journal.pone.0119636. This article has 28 citations and is from a peer-reviewed journal.</w:t>
      </w:r>
    </w:p>
    <w:p>
      <w:pPr>
        <w:numPr>
          <w:ilvl w:val="0"/>
          <w:numId w:val="1002"/>
        </w:numPr>
      </w:pPr>
      <w:r>
        <w:t xml:space="preserve">(orand2023revealingthemechanism pages 38-41): T Orand. Revealing the mechanism of action of intrinsically disordered proteins in mapk cell signalling.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