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Megakaryocyte‐associated tyrosine‐protein kinase (MATK), known alternatively as CSK homologous kinase, Hematopoietic consensus tyrosine‐lacking kinase, Protein kinase HYL, or Tyrosine‐protein kinase CTK, is situated within the non‐receptor tyrosine kinase superfamily with a specialized inhibitory role in controlling Src-family kinases. Phylogenetic analyses place MATK in close association with the CSK family, and its modular domain organization, notably comprising a catalytic kinase domain together with regulatory SH2 and SH3 domains, is a hallmark of kinases evolved to modulate Src kinase activity rather than to propagate an activating signal (advani2015cskhomologouskinase(chkmatk) pages 1-5). In contrast to typical Src kinases that contain motifs for autophosphorylation and membrane targeting, MATK lacks an N-terminal fatty acylation sequence and key autophosphorylation sites; this structural divergence reflects its evolution toward a predominantly inhibitory function. Studies indicate that within the human kinome the CSK family is highly conserved and can be traced back to an early common ancestor among vertebrates, with MATK representing a distinct branch that retains a high sequence conservation in both its catalytic core and its regulatory modules across diverse species including mammals, rodents, and primates (creeden2020kinomearrayprofiling pages 18-22). Comparative evolutionary analyses have shown that orthologs of MATK exist in many vertebrate lineages, maintaining not only overall high sequence identity but also conservation of the domain architecture that governs substrate interactions, such as the SH2 and SH3 regions that are critical for docking specific substrates and achieving intracellular targeting (rakshambikai2015typicalandatypical pages 6-9). Furthermore, structural comparisons among CSK homologous kinases underscore that although the catalytic machinery is preserved, the loss of motifs common in classical Src kinases, such as autophosphorylation sites, marks an evolutionary divergence from kinases involved in propagating growth signals to one that functions as a molecular “policeman” to ensure signaling fidelity in cells where excessive Src activation would be deleterious (ia2010structuralelementsand pages 1-6). The evolutionary depth of MATK is further supported by phylogenetic reconstructions that capture its placement in established families of tyrosine kinases, linking it to an ancient regulatory network essential for hematopoietic homeostasis in vertebrates.</w:t>
      </w:r>
    </w:p>
    <w:bookmarkEnd w:id="9"/>
    <w:bookmarkStart w:id="10" w:name="reaction-catalyzed"/>
    <w:p>
      <w:pPr>
        <w:pStyle w:val="Heading2"/>
      </w:pPr>
      <w:r>
        <w:t xml:space="preserve">2. Reaction Catalyzed</w:t>
      </w:r>
    </w:p>
    <w:p>
      <w:pPr>
        <w:pStyle w:val="FirstParagraph"/>
      </w:pPr>
      <w:r>
        <w:t xml:space="preserve">MATK catalyzes a phosphorylation reaction typical for protein tyrosine kinases, where the enzyme transfers the γ-phosphate group from adenosine triphosphate (ATP) to a target tyrosine residue on substrate proteins. In the specific case of MATK, the primary substrate is the Src-family kinase, and its target is the conserved C-terminal regulatory tyrosine residue. The chemical reaction can be represented as:</w:t>
      </w:r>
    </w:p>
    <w:p>
      <w:pPr>
        <w:pStyle w:val="BodyText"/>
      </w:pPr>
      <w:r>
        <w:t xml:space="preserve">  ATP + Src-family kinase (with free C-terminal tyrosine) → ADP + Src-family kinase (with phosphotyrosine) + H⁺</w:t>
      </w:r>
    </w:p>
    <w:p>
      <w:pPr>
        <w:pStyle w:val="BodyText"/>
      </w:pPr>
      <w:r>
        <w:t xml:space="preserve">This reaction is of critical importance because the phosphorylation of the C-terminal tyrosine induces intramolecular binding within the Src-family kinase—most notably, the phosphotyrosine interacts with the SH2 domain—thereby enforcing a closed, inactive conformation that attenuates kinase activity (ia2011definingthesubstrate pages 13-14). Experimental investigations have revealed that MATK is capable of phosphorylating multiple conformational variants of Src-family kinases, including both fully active and partially active forms; this wide substrate engagement is achieved by a dual mechanism that not only involves the conventional catalytic transfer of the phosphate group but also includes non-catalytic inhibitory binding that further stabilizes the inactive state (kfoury2014developingandoptimizing pages 17-26). The phosphorylation event thus serves as a regulatory checkpoint that prevents aberrant activation of downstream proliferative signaling cascades, playing an essential role in maintaining cellular signaling homeostasis in contexts such as hematopoietic and neuronal systems (advani2015cskhomologouskinase(chkmatk) pages 7-9). The intricately coordinated mechanism, which positions the phosphate acceptor suitably within MATK’s active site via its ATP-binding cleft and catalytic loop, is integral to its efficient functioning as a negative regulator of Src-family kinases.</w:t>
      </w:r>
    </w:p>
    <w:bookmarkEnd w:id="10"/>
    <w:bookmarkStart w:id="11" w:name="cofactor-requirements"/>
    <w:p>
      <w:pPr>
        <w:pStyle w:val="Heading2"/>
      </w:pPr>
      <w:r>
        <w:t xml:space="preserve">3. Cofactor Requirements</w:t>
      </w:r>
    </w:p>
    <w:p>
      <w:pPr>
        <w:pStyle w:val="FirstParagraph"/>
      </w:pPr>
      <w:r>
        <w:t xml:space="preserve">The catalytic efficacy of MATK is inherently dependent on the presence of essential cofactors that facilitate the phosphorylation reaction. Central to the enzymatic activity of MATK is the binding of ATP in coordination with a divalent metal ion, typically magnesium (Mg²⁺), which is indispensable for achieving a productive catalytic complex. Mg²⁺ functions by neutralizing the charge density of the ATP phosphates and stabilizing the transition state during phosphotransfer. This is achieved by binding to ATP to form an ATP–Mg²⁺ complex, which then undergoes proper orientation within the active site of MATK, thereby permitting the efficient transfer of the γ-phosphate group to the substrate tyrosine residue (creeden2022pancreaticcancerkinome pages 48-51). In certain experimental settings, manganese (Mn²⁺) has been observed to substitute for magnesium; however, under physiological conditions, magnesium is the predominant metal ion owing to its higher intracellular concentration and favorable coordination geometry with kinase active sites (rakshambikai2015typicalandatypical pages 6-9). Although additional cofactors have not been clearly implicated in MATK activity, the general paradigm for tyrosine kinase catalysis necessitates these metal ions, and MATK is no exception. Studies of CSK homologous kinases indicate that the ATP-bound state, stabilized by Mg²⁺, is crucial not only for catalytic phosphorylation but also for supporting non-catalytic inhibitory interactions through maintained conformational integrity (creeden2022pancreaticcancerkinome pages 48-51). The known dependence on ATP and Mg²⁺ constitutes a common mechanistic theme within the tyrosine kinase superfamily and underscores MATK’s conformity to this archetype.</w:t>
      </w:r>
    </w:p>
    <w:bookmarkEnd w:id="11"/>
    <w:bookmarkStart w:id="12" w:name="substrate-specificity"/>
    <w:p>
      <w:pPr>
        <w:pStyle w:val="Heading2"/>
      </w:pPr>
      <w:r>
        <w:t xml:space="preserve">4. Substrate Specificity</w:t>
      </w:r>
    </w:p>
    <w:p>
      <w:pPr>
        <w:pStyle w:val="FirstParagraph"/>
      </w:pPr>
      <w:r>
        <w:t xml:space="preserve">MATK exhibits a high degree of substrate specificity that is central to its regulatory function in modulating the activity of Src-family kinases. Its preferred substrates comprise primarily the kinases within the Src family, such as Lyn, Fyn, and c-Src, wherein MATK targets the conserved C-terminal tyrosine residue for phosphorylation. The precise phosphorylation of this regulatory tyrosine is critical because it induces intramolecular interactions – particularly the binding of the phosphorylated tyrosine to the SH2 domain – which leads to the stabilization of an inactive kinase conformation (ia2011definingthesubstrate pages 13-14). MATK’s substrate specificity is mediated by its catalytic domain in conjunction with its accessory domains. The SH2 domain of MATK is known to bind phosphotyrosine-containing motifs, thereby facilitating the docking of substrates that already possess or can generate such signals (rakshambikai2015typicalandatypical pages 6-9). Concurrently, the SH3 domain recognizes proline-rich sequences typically present in Src-family kinases, thus enhancing the proximity and orientation of the substrate relative to the catalytic site. This dual-docking mechanism not only reinforces substrate specificity but also contributes to the effective inactivation of Src kinases via both catalytic and non-catalytic pathways (advani2015cskhomologouskinase(chkmatk) pages 7-9).</w:t>
      </w:r>
      <w:r>
        <w:br/>
      </w:r>
      <w:r>
        <w:t xml:space="preserve">In vitro studies have demonstrated that even subtle alterations in the amino acid sequence surrounding the target tyrosine residue can result in a marked decrease in the phosphorylation efficiency by MATK, highlighting the importance of a defined consensus recognition motif. Although a precise consensus motif for MATK has yet to be fully delineated, the reliability of substrate modification by MATK suggests that both the linear sequence and the three-dimensional structure around the phosphorylated tyrosine are critical determinants of its specificity (creeden2020kinomearrayprofiling pages 18-22). This stringent substrate requirement is crucial in ensuring that MATK selectively attenuates the proliferative signals initiated by Src-family kinases while sparing other tyrosine-based signaling components, thereby maintaining a balanced signaling network within hematopoietic cells.</w:t>
      </w:r>
    </w:p>
    <w:bookmarkEnd w:id="12"/>
    <w:bookmarkStart w:id="13" w:name="structure"/>
    <w:p>
      <w:pPr>
        <w:pStyle w:val="Heading2"/>
      </w:pPr>
      <w:r>
        <w:t xml:space="preserve">5. Structure</w:t>
      </w:r>
    </w:p>
    <w:p>
      <w:pPr>
        <w:pStyle w:val="FirstParagraph"/>
      </w:pPr>
      <w:r>
        <w:t xml:space="preserve">MATK’s structure exemplifies the characteristic features of the CSK-family kinases and is essential for its dual role as an enzyme executing catalytic phosphorylation as well as a regulatory scaffold mediating non-catalytic inhibition. At its core, MATK possesses a bilobal catalytic kinase domain, which is typical of the eukaryotic protein kinase family. The smaller N-terminal lobe, largely composed of β-sheets, primarily functions in the recognition and binding of ATP, while the larger C-terminal lobe, which is rich in α-helices, contains the catalytic loop and other motifs critical for phosphoryl transfer (ia2010structuralelementsand pages 1-6). Within the kinase domain, conserved structural elements such as the glycine-rich loop (often referred to as the P-loop) provide the requisite flexibility for ATP binding, and the catalytic loop contains key residues – including a conserved aspartate that functions as a catalytic base – necessary for phosphotransfer activity.</w:t>
      </w:r>
      <w:r>
        <w:br/>
      </w:r>
      <w:r>
        <w:t xml:space="preserve">Adjacently, MATK contains protein–protein interaction modules such as the SH3 and SH2 domains. The SH3 domain typically binds to proline-rich sequences, whereas the SH2 domain engages phosphotyrosine-containing motifs; together, these modules play a vital role in substrate docking and spatial localization of MATK within the cell. Structural modeling studies, often using high-resolution crystallographic data from closely related kinases like CSK, indicate that the overall domain arrangement of MATK—with its central kinase domain flanked by SH2/SH3 modules—is evolutionarily conserved and critical for its function as an inhibitor of Src-family kinases (advani2015cskhomologouskinase(chkmatk) pages 5-7).</w:t>
      </w:r>
      <w:r>
        <w:br/>
      </w:r>
      <w:r>
        <w:t xml:space="preserve">Notably, MATK lacks certain regions that are hallmarks of conventional Src kinases. It does not contain an N-terminal fatty acylation sequence that typically mediates membrane association, nor does it possess an autophosphorylation site within its activation loop, thereby emphasizing its specialized role in inhibitory signaling. Structural comparisons with CSK reveal that the ATP binding pocket of MATK is subtly different and may have evolved to favor specific interactions that underpin its inhibitory function rather than promote rapid catalytic turnover (advani2015cskhomologouskinase(chkmatk) pages 12-18). In addition, the rigidity of the overall domain architecture helps maintain the integrity of both the catalytic and non-catalytic interactions, with the SH2 and SH3 domains orienting the substrate to enable effective phosphorylation of the C-terminal inhibitory tyrosine on Src kinases (cargnello2011activationandfunction pages 19-20). Advanced three-dimensional structural predictions, akin to those generated by the AlphaFold methodology, further confirm the conservation of essential structural motifs such as the catalytic loop, activation segment, and the P-loop, thereby reinforcing a model in which MATK is structurally optimized for its suppressive regulatory role.</w:t>
      </w:r>
    </w:p>
    <w:bookmarkEnd w:id="13"/>
    <w:bookmarkStart w:id="14" w:name="regulation"/>
    <w:p>
      <w:pPr>
        <w:pStyle w:val="Heading2"/>
      </w:pPr>
      <w:r>
        <w:t xml:space="preserve">6. Regulation</w:t>
      </w:r>
    </w:p>
    <w:p>
      <w:pPr>
        <w:pStyle w:val="FirstParagraph"/>
      </w:pPr>
      <w:r>
        <w:t xml:space="preserve">The regulation of MATK is multifactorial, involving transcriptional, post-translational, and allosteric mechanisms that together fine-tune its inhibitory activity. At the transcriptional level, the MATK gene features a promoter region rich in GC boxes and multiple transcription factor binding sites—including motifs for Sp1 and GATA-1—indicating a complex regulation that is responsive to both developmental cues and stress signals (advani2015cskhomologouskinase(chkmatk) pages 1-5). In several cancer types, particularly those of the hematopoietic system and colorectal origin, MATK gene expression is reduced due to hypermethylation of CpG islands in its promoter, an epigenetic modification that diminishes transcription and contributes to the loss of its inhibitory control over Src-family kinases (advani2015cskhomologouskinase(chkmatk) pages 1-5).</w:t>
      </w:r>
      <w:r>
        <w:br/>
      </w:r>
      <w:r>
        <w:t xml:space="preserve">At the post-translational level, MATK regulation encompasses dynamic phosphorylation events. Although MATK itself lacks a traditional autophosphorylation site in its activation loop, it is subject to phosphorylation at alternative residues that may modulate its kinase activity and its ability to form non-catalytic inhibitory complexes. Phosphorylation at such sites can induce subtle conformational changes that enhance the binding affinity of the SH2 and SH3 regions for their respective ligand motifs on target Src-family kinases (ia2011definingthesubstrate pages 13-14). Additionally, MATK’s activity is notably influenced by its ATP-binding status; binding of ATP not only is critical for catalysis but also stabilizes an allosterically active conformation that is required for effective non-catalytic inhibition of substrate kinases. Empirical studies have shown that mutations in key ATP-binding residues not only reduce the phosphorylation capacity of MATK but also abrogate its ability to physically interact with and inhibit Src-family kinases, demonstrating a tight coupling between nucleotide binding and regulatory function (sun2023dissectionofthe pages 1-2).</w:t>
      </w:r>
      <w:r>
        <w:br/>
      </w:r>
      <w:r>
        <w:t xml:space="preserve">Furthermore, the delicate balance of MATK activity is susceptible to cancer-associated mutations that can occur within its catalytic core or regulatory domains. Missense mutations identified in tumor samples often map to the ATP-binding pocket or regions critical for substrate recognition, and such alterations are hypothesized to undermine MATK’s capacity to function as a brake on Src signaling. In this paradigm, loss-of-function mutations combined with epigenetic silencing contribute to the hyperactivation of Src kinases, promoting oncogenic progression (advani2015cskhomologouskinase(chkmatk) pages 7-9).</w:t>
      </w:r>
      <w:r>
        <w:br/>
      </w:r>
      <w:r>
        <w:t xml:space="preserve">Overall, the regulation of MATK involves a synergistic interplay between gene expression controls, post-translational modifications, and conformational stabilization mechanisms that together ensure its precise inhibitory activity is deployed only when necessary. This multilayered regulation safeguards normal cellular homeostasis and prevents the oncogenic potential of unchecked Src kinase activation.</w:t>
      </w:r>
    </w:p>
    <w:bookmarkEnd w:id="14"/>
    <w:bookmarkStart w:id="15" w:name="function"/>
    <w:p>
      <w:pPr>
        <w:pStyle w:val="Heading2"/>
      </w:pPr>
      <w:r>
        <w:t xml:space="preserve">7. Function</w:t>
      </w:r>
    </w:p>
    <w:p>
      <w:pPr>
        <w:pStyle w:val="FirstParagraph"/>
      </w:pPr>
      <w:r>
        <w:t xml:space="preserve">The principal function of MATK is to serve as a negative regulator of Src-family kinases, an activity that is critical for preventing aberrant cell signaling events that could lead to uncontrolled proliferation or oncogenic transformation. By phosphorylating the conserved C-terminal regulatory tyrosine residue on Src-family kinases, MATK triggers an intramolecular reorganization that results in a closed, inactive conformation. This inactivation effectively dampens downstream signaling pathways associated with cell proliferation, survival, and migration (ia2011definingthesubstrate pages 13-14).</w:t>
      </w:r>
      <w:r>
        <w:br/>
      </w:r>
      <w:r>
        <w:t xml:space="preserve">In the context of hematopoietic tissues, MATK plays a vital role in the regulation of T-cell proliferation. Hematopoietic cells require a finely tuned balance of signaling cascades to properly mediate immune responses, and MATK’s function as an inhibitor of Src-family kinase activity ensures that T-cell activation and proliferation do not proceed unchecked. Reduced MATK expression or impaired function—due to epigenetic silencing or missense mutations—has been implicated in the aberrant activation of Src kinases, contributing to the progression of various cancers, including those of the blood and colon (advani2015cskhomologouskinase(chkmatk) pages 1-5).</w:t>
      </w:r>
      <w:r>
        <w:br/>
      </w:r>
      <w:r>
        <w:t xml:space="preserve">Furthermore, MATK is also expressed in neural tissues such as the brain, where it is postulated to modulate neuronal signaling pathways. In these settings, the inhibition of Src-family kinases by MATK may influence synaptic plasticity and neuronal survival, although the precise mechanisms remain incompletely understood. The duality of MATK’s function—employing both catalytic phosphorylation and non-catalytic inhibitory binding—ensures a robust checkpoint mechanism that can restrain Src-family kinase activity even when these enzymes are partially activated (creeden2020kinomearrayprofiling pages 18-22).</w:t>
      </w:r>
      <w:r>
        <w:br/>
      </w:r>
      <w:r>
        <w:t xml:space="preserve">Given its central role in the negative regulation of kinases that are otherwise associated with proliferative and survival signals, MATK is increasingly recognized as a potential tumor suppressor. Experimental evidence demonstrating that diminished MATK activity correlates with constitutive Src activation supports the hypothesis that MATK dysfunction may contribute to the oncogenic process. Such findings have spurred interest in considering MATK expression levels as a biomarker for early detection of cancers in tissues where Src signaling is a predominant driver of pathology (creeden2022pancreaticcancerkinome pages 48-51).</w:t>
      </w:r>
      <w:r>
        <w:br/>
      </w:r>
      <w:r>
        <w:t xml:space="preserve">In summary, MATK functions as a critical inhibitory signal in multiple cellular contexts by ensuring that Src-family kinases remain in check. Its action is particularly important in the immune system and the brain, where tight control over kinase activity is essential for normal cellular function and prevention of disease.</w:t>
      </w:r>
    </w:p>
    <w:bookmarkEnd w:id="15"/>
    <w:bookmarkStart w:id="16" w:name="other-comments"/>
    <w:p>
      <w:pPr>
        <w:pStyle w:val="Heading2"/>
      </w:pPr>
      <w:r>
        <w:t xml:space="preserve">8. Other Comments</w:t>
      </w:r>
    </w:p>
    <w:p>
      <w:pPr>
        <w:pStyle w:val="FirstParagraph"/>
      </w:pPr>
      <w:r>
        <w:t xml:space="preserve">Despite significant progress in characterizing MATK’s biochemical and structural attributes, several challenges remain that warrant further investigation. One of the current hurdles is the lack of selective, high-affinity inhibitors that specifically target MATK. The dual mechanism of action—comprising both catalytic phosphorylation and non-catalytic inhibition—complicates the development of inhibitors that can effectively modulate MATK activity without off-target effects on other tyrosine kinases. Current research efforts are focused on deciphering the detailed ATP-dependent conformational dynamics of MATK and leveraging structural insights from its closest homologs, such as CSK, to identify potential inhibitor binding sites (creeden2020kinomearrayprofiling pages 18-22, advani2015cskhomologouskinase(chkmatk) pages 7-9).</w:t>
      </w:r>
      <w:r>
        <w:br/>
      </w:r>
      <w:r>
        <w:t xml:space="preserve">In addition to inhibitor development, disease associations linked to MATK further underline its clinical significance. Large-scale cancer genomic studies have identified multiple missense mutations in MATK, many of which cluster in functionally critical regions such as the ATP-binding pocket and substrate-interaction domains. These mutations are often correlated with hyperactivation of Src-family kinases, suggesting that loss or impairment of MATK activity could contribute to oncogenic transformation by removing an essential regulatory brake (advani2015cskhomologouskinase(chkmatk) pages 1-5, rakshambikai2015typicalandatypical pages 6-9).</w:t>
      </w:r>
      <w:r>
        <w:br/>
      </w:r>
      <w:r>
        <w:t xml:space="preserve">Similarly, epigenetic modifications leading to reduced MATK expression have been observed in various tumors, particularly those associated with hematopoietic and colorectal malignancies. Such observations provide a rationale for exploring strategies aimed at restoring MATK expression or function as potential therapeutic interventions, possibly through the use of demethylating agents or gene therapy approaches.</w:t>
      </w:r>
      <w:r>
        <w:br/>
      </w:r>
      <w:r>
        <w:t xml:space="preserve">Furthermore, ongoing research is aimed at mapping the broader interactome of MATK in both hematopoietic and neural contexts. Elucidating the full spectrum of MATK’s substrates beyond the canonical Src-family members could reveal additional roles in cellular signaling networks and identify new points of therapeutic intervention. High-resolution structural studies, such as those employing cryo-electron microscopy or advanced predictive modeling techniques, are expected to yield further insights into how MATK’s domain architecture governs both its catalytic and non-catalytic modes of inhibition.</w:t>
      </w:r>
      <w:r>
        <w:br/>
      </w:r>
      <w:r>
        <w:t xml:space="preserve">Current literature also suggests that while no MATK-specific inhibitors are commercially available, the identification of unique structural features in MATK versus other tyrosine kinases may lead to the design of next-generation compounds with improved selectivity. Researchers are investigating the possibility of targeting the distinct allosteric regulatory sites that contribute to MATK’s ATP-dependent conformational state, which are likely to be amenable to small-molecule intervention. Such strategies, if successful, may provide an innovative approach to restoring appropriate Src-family kinase regulation in cancers where MATK is deficient.</w:t>
      </w:r>
      <w:r>
        <w:br/>
      </w:r>
      <w:r>
        <w:t xml:space="preserve">Collectively, these emerging research directions underscore the complexity and therapeutic potential of MATK. Its role as a critical checkpoint in Src-family kinase signaling not only highlights its importance in maintaining cellular homeostasis but also positions it as a compelling target for the development of novel anti-cancer strategies. Ongoing studies in this field promise to deepen our understanding of MATK’s regulatory mechanisms and to pave the way for innovative therapeutic interventions aimed at modulating tyrosine kinase signaling in disease states.</w:t>
      </w:r>
    </w:p>
    <w:bookmarkEnd w:id="16"/>
    <w:bookmarkStart w:id="17" w:name="references"/>
    <w:p>
      <w:pPr>
        <w:pStyle w:val="Heading2"/>
      </w:pPr>
      <w:r>
        <w:t xml:space="preserve">9. References</w:t>
      </w:r>
    </w:p>
    <w:p>
      <w:pPr>
        <w:pStyle w:val="Compact"/>
        <w:numPr>
          <w:ilvl w:val="0"/>
          <w:numId w:val="1001"/>
        </w:numPr>
      </w:pPr>
      <w:r>
        <w:t xml:space="preserve">advani2015cskhomologouskinase(chkmatk) pages 1-5</w:t>
      </w:r>
      <w:r>
        <w:br/>
      </w:r>
    </w:p>
    <w:p>
      <w:pPr>
        <w:pStyle w:val="Compact"/>
        <w:numPr>
          <w:ilvl w:val="0"/>
          <w:numId w:val="1001"/>
        </w:numPr>
      </w:pPr>
      <w:r>
        <w:t xml:space="preserve">advani2015cskhomologouskinase(chkmatk) pages 5-7</w:t>
      </w:r>
      <w:r>
        <w:br/>
      </w:r>
    </w:p>
    <w:p>
      <w:pPr>
        <w:pStyle w:val="Compact"/>
        <w:numPr>
          <w:ilvl w:val="0"/>
          <w:numId w:val="1001"/>
        </w:numPr>
      </w:pPr>
      <w:r>
        <w:t xml:space="preserve">ia2010structuralelementsand pages 1-6</w:t>
      </w:r>
      <w:r>
        <w:br/>
      </w:r>
    </w:p>
    <w:p>
      <w:pPr>
        <w:pStyle w:val="Compact"/>
        <w:numPr>
          <w:ilvl w:val="0"/>
          <w:numId w:val="1001"/>
        </w:numPr>
      </w:pPr>
      <w:r>
        <w:t xml:space="preserve">ia2011definingthesubstrate pages 13-14</w:t>
      </w:r>
      <w:r>
        <w:br/>
      </w:r>
    </w:p>
    <w:p>
      <w:pPr>
        <w:pStyle w:val="Compact"/>
        <w:numPr>
          <w:ilvl w:val="0"/>
          <w:numId w:val="1001"/>
        </w:numPr>
      </w:pPr>
      <w:r>
        <w:t xml:space="preserve">kfoury2014developingandoptimizing pages 17-26</w:t>
      </w:r>
      <w:r>
        <w:br/>
      </w:r>
    </w:p>
    <w:p>
      <w:pPr>
        <w:pStyle w:val="Compact"/>
        <w:numPr>
          <w:ilvl w:val="0"/>
          <w:numId w:val="1001"/>
        </w:numPr>
      </w:pPr>
      <w:r>
        <w:t xml:space="preserve">rakshambikai2015typicalandatypical pages 6-9</w:t>
      </w:r>
      <w:r>
        <w:br/>
      </w:r>
    </w:p>
    <w:p>
      <w:pPr>
        <w:pStyle w:val="Compact"/>
        <w:numPr>
          <w:ilvl w:val="0"/>
          <w:numId w:val="1001"/>
        </w:numPr>
      </w:pPr>
      <w:r>
        <w:t xml:space="preserve">creeden2020kinomearrayprofiling pages 18-22</w:t>
      </w:r>
      <w:r>
        <w:br/>
      </w:r>
    </w:p>
    <w:p>
      <w:pPr>
        <w:pStyle w:val="Compact"/>
        <w:numPr>
          <w:ilvl w:val="0"/>
          <w:numId w:val="1001"/>
        </w:numPr>
      </w:pPr>
      <w:r>
        <w:t xml:space="preserve">creeden2022pancreaticcancerkinome pages 48-51</w:t>
      </w:r>
      <w:r>
        <w:br/>
      </w:r>
    </w:p>
    <w:p>
      <w:pPr>
        <w:pStyle w:val="Compact"/>
        <w:numPr>
          <w:ilvl w:val="0"/>
          <w:numId w:val="1001"/>
        </w:numPr>
      </w:pPr>
      <w:r>
        <w:t xml:space="preserve">sun2023dissectionofthe pages 1-2</w:t>
      </w:r>
    </w:p>
    <w:p>
      <w:pPr>
        <w:pStyle w:val="FirstParagraph"/>
      </w:pPr>
      <w:r>
        <w:t xml:space="preserve">References</w:t>
      </w:r>
    </w:p>
    <w:p>
      <w:pPr>
        <w:numPr>
          <w:ilvl w:val="0"/>
          <w:numId w:val="1002"/>
        </w:numPr>
      </w:pPr>
      <w:r>
        <w:t xml:space="preserve">(advani2015cskhomologouskinase(chkmatk) pages 1-5):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(advani2015cskhomologouskinase(chkmatk) pages 5-7):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(advani2015cskhomologouskinase(chkmatk) pages 7-9):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(cargnello2011activationandfunction pages 19-20): Marie Cargnello and Philippe P. Roux. Activation and function of the mapks and their substrates, the mapk-activated protein kinases. Microbiology and Molecular Biology Reviews, 75:50-83, Mar 2011. URL: https://doi.org/10.1128/mmbr.00031-10, doi:10.1128/mmbr.00031-10. This article has 3984 citations and is from a domain leading peer-reviewed journal.</w:t>
      </w:r>
    </w:p>
    <w:p>
      <w:pPr>
        <w:numPr>
          <w:ilvl w:val="0"/>
          <w:numId w:val="1002"/>
        </w:numPr>
      </w:pPr>
      <w:r>
        <w:t xml:space="preserve">(creeden2020kinomearrayprofiling pages 18-22):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43 citations and is from a peer-reviewed journal.</w:t>
      </w:r>
    </w:p>
    <w:p>
      <w:pPr>
        <w:numPr>
          <w:ilvl w:val="0"/>
          <w:numId w:val="1002"/>
        </w:numPr>
      </w:pPr>
      <w:r>
        <w:t xml:space="preserve">(ia2010structuralelementsand pages 1-6):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(ia2011definingthesubstrate pages 13-14): Kim K. Ia, Grace R. Jeschke, Yang Deng, Mohd Aizuddin Kamaruddin, Nicholas A. Williamson, Denis B. Scanlon, Janetta G. Culvenor, Mohammed Iqbal Hossain, Anthony W. Purcell, Sheng Liu, Hong-Jian Zhu, Bruno Catimel, Benjamin E. Turk, and Heung-Chin Cheng. Defining the substrate specificity determinants recognized by the active site of c-terminal src kinase-homologous kinase (chk) and identification of β-synuclein as a potential chk physiological substrate. Biochemistry, 50 31:6667-77, Aug 2011. URL: https://doi.org/10.1021/bi2001938, doi:10.1021/bi2001938. This article has 14 citations and is from a peer-reviewed journal.</w:t>
      </w:r>
    </w:p>
    <w:p>
      <w:pPr>
        <w:numPr>
          <w:ilvl w:val="0"/>
          <w:numId w:val="1002"/>
        </w:numPr>
      </w:pPr>
      <w:r>
        <w:t xml:space="preserve">(kfoury2014developingandoptimizing pages 17-26): R Kfoury. Developing and optimizing a method to analyze substrate specificity of tyrosine kinases. Unknown journal, 2014. URL: https://doi.org/10.23860/thesis-kfoury-ralph-2014, doi:10.23860/thesis-kfoury-ralph-2014. This article has 0 citations.</w:t>
      </w:r>
    </w:p>
    <w:p>
      <w:pPr>
        <w:numPr>
          <w:ilvl w:val="0"/>
          <w:numId w:val="1002"/>
        </w:numPr>
      </w:pPr>
      <w:r>
        <w:t xml:space="preserve">(rakshambikai2015typicalandatypical pages 6-9):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p>
      <w:pPr>
        <w:numPr>
          <w:ilvl w:val="0"/>
          <w:numId w:val="1002"/>
        </w:numPr>
      </w:pPr>
      <w:r>
        <w:t xml:space="preserve">(sun2023dissectionofthe pages 1-2):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(advani2015cskhomologouskinase(chkmatk) pages 12-18):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(creeden2022pancreaticcancerkinome pages 48-51): JF Creeden, K Alganem, and AS Imami. Pancreatic cancer kinome. Unknown journal, 2022.</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