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eIF-2-alpha kinase GCN2 (gene EIF2AK4, UniProt Q9P2K8) is a member of the eIF2α kinase family that is conserved broadly from yeast to mammals. Orthologs of GCN2 are found in fungi, plants, and animals, reflecting its central role as a nutrient and stress sensor in virtually all eukaryotes (rothenburg2016eif2α pages 1-4). In evolutionary terms, GCN2 represents one of the ancestral serine/threonine kinases implicated in translational regulation, and its domain organization – which includes the N-terminal RWD domain, a pseudokinase region, a catalytic kinase domain, a histidyl-tRNA synthetase-like domain, and a C-terminal ribosome-binding domain – appears in a similar arrangement in many species (rothenburg2016eif2α pages 4-8, tatara2024emergingroleof pages 1-2). Within the overall kinome, GCN2 is grouped with other stress‐responsive eIF2α kinases that share a common role of regulating the integrated stress response (ISR) by mediating phosphorylation of eIF2α, and its evolutionary relationship with these kinases has been well established through comparative genomic analyses that trace its origin to an ancient common ancestor (jochmann2014identificationofribosomal pages 19-24, bruggenthies2021geneticandchemical pages 25-30).</w:t>
      </w:r>
    </w:p>
    <w:p>
      <w:pPr>
        <w:numPr>
          <w:ilvl w:val="0"/>
          <w:numId w:val="1001"/>
        </w:numPr>
      </w:pPr>
      <w:r>
        <w:t xml:space="preserve">Reaction Catalyzed</w:t>
      </w:r>
      <w:r>
        <w:br/>
      </w:r>
      <w:r>
        <w:t xml:space="preserve">GCN2 catalyzes the ATP-dependent phosphorylation of the alpha subunit of the eukaryotic translation initiation factor 2 (eIF2α). The reaction can be summarized as follows: ATP + eIF2α → ADP + eIF2α phosphorylated on a specific serine residue (Ser51 in mammals) + H⁺ (carlson2023activationofgcn2 pages 8-15, donnelly2013theeif2αkinases pages 5-6). This phosphorylation event converts eIF2α into an inhibitor of the guanine nucleotide exchange factor eIF2B, thereby reducing the overall availability of eIF2-GTP required for cap-dependent translation initiation (altintas2024generalcontrolnonderepressible pages 1-2).</w:t>
      </w:r>
    </w:p>
    <w:p>
      <w:pPr>
        <w:numPr>
          <w:ilvl w:val="0"/>
          <w:numId w:val="1001"/>
        </w:numPr>
      </w:pPr>
      <w:r>
        <w:t xml:space="preserve">Cofactor Requirements</w:t>
      </w:r>
      <w:r>
        <w:br/>
      </w:r>
      <w:r>
        <w:t xml:space="preserve">The kinase activity of GCN2 is dependent on the presence of Mg²⁺ ions that serve as essential cofactors for ATP binding and catalysis. Mg²⁺ coordinates with ATP in the catalytic site, thereby facilitating the transfer of the phosphate group to the serine residue on eIF2α (carlson2023activationofgcn2 pages 96-102).</w:t>
      </w:r>
    </w:p>
    <w:p>
      <w:pPr>
        <w:numPr>
          <w:ilvl w:val="0"/>
          <w:numId w:val="1001"/>
        </w:numPr>
      </w:pPr>
      <w:r>
        <w:t xml:space="preserve">Substrate Specificity</w:t>
      </w:r>
      <w:r>
        <w:br/>
      </w:r>
      <w:r>
        <w:t xml:space="preserve">GCN2 displays high substrate specificity for the alpha subunit of eIF2, phosphorylating it predominantly on serine 51 in mammalian cells. As a serine/threonine kinase, GCN2 relies on a substrate recognition motif that is dictated by the structural context of eIF2α. Experimental studies have demonstrated that the phosphorylation of eIF2α by GCN2 is tightly associated with its ability to recognize a specific amino acid environment surrounding the target serine residue (baird2014noveltargetsof pages 20-23, donnelly2013theeif2αkinases pages 5-6). Although a detailed consensus motif such as those reported for other families of serine/threonine kinases (for example, the RxRxxp[ST] motif described for many kinases) has not been explicitly defined for GCN2 itself in the available literature, its substrate specificity is well evidenced by the consistent and selective phosphorylation event on eIF2α during stress responses (carlson2023activationofgcn2 pages 102-106).</w:t>
      </w:r>
    </w:p>
    <w:p>
      <w:pPr>
        <w:numPr>
          <w:ilvl w:val="0"/>
          <w:numId w:val="1001"/>
        </w:numPr>
      </w:pPr>
      <w:r>
        <w:t xml:space="preserve">Structure</w:t>
      </w:r>
      <w:r>
        <w:br/>
      </w:r>
      <w:r>
        <w:t xml:space="preserve">GCN2 is organized into several functional domains that contribute to both its catalytic activity and regulatory responsiveness. The N-terminal region contains an RWD domain that mediates protein–protein interactions, most notably with the activator protein GCN1. Adjacent to this, a pseudokinase domain is present; although it lacks catalytic activity, it plays a regulatory role by modulating the conformation of the catalytic domain (altintas2024generalcontrolnonderepressible pages 7-8, bruggenthies2021geneticandchemical pages 9-11). The kinase domain itself contains the conserved bilobal structure typical of protein kinases, with an N-terminal lobe responsible for ATP binding – characterized by the glycine-rich loop and an invariant lysine – and a C-terminal lobe that contributes to substrate recognition and catalysis. Key catalytic residues such as those in the HRD and DFG motifs, as well as an activation loop subject to autophosphorylation (e.g., threonine residues such as T899 in humans), are essential for full kinase activity (carlson2023activationofgcn2 pages 26-31, lehman2015theroleof pages 91-94). Downstream of the catalytic region, GCN2 possesses a histidyl-tRNA synthetase-like (HisRS) domain; despite its name, this domain does not carry out aminoacylation, but rather it functions as a sensor that binds uncharged tRNAs accumulating during amino acid deprivation (altintas2024generalcontrolnonderepressible pages 1-2, ishimura2016activationofgcn2 pages 1-2). Finally, a C-terminal domain (CTD) facilitates ribosome binding and dimerization, which are necessary for effective signal transduction and full activation of the kinase (altintas2024generalcontrolnonderepressible pages 7-8, carlson2023activationofgcn2 pages 31-35).</w:t>
      </w:r>
    </w:p>
    <w:p>
      <w:pPr>
        <w:numPr>
          <w:ilvl w:val="0"/>
          <w:numId w:val="1001"/>
        </w:numPr>
      </w:pPr>
      <w:r>
        <w:t xml:space="preserve">Regulation</w:t>
      </w:r>
      <w:r>
        <w:br/>
      </w:r>
      <w:r>
        <w:t xml:space="preserve">The regulatory mechanisms of GCN2 are multifaceted and center on its response to cellular stress signals. Central to its regulation is the binding of deacylated (uncharged) tRNAs to the HisRS-like domain, a process that relieves autoinhibition imposed by intra-domain interactions and induces conformational changes that promote kinase dimerization and subsequent autophosphorylation within the activation loop (altintas2024generalcontrolnonderepressible pages 1-2, ishimura2016activationofgcn2 pages 1-2). In addition, the interaction with GCN1 facilitates the localization of GCN2 to stalled ribosomes, thereby amplifying its activation in response to amino acid starvation (jochmann2014identificationofribosomal pages 19-24, bruggenthies2021geneticandchemical pages 34-36). Autophosphorylation events, particularly on residues within the activation loop (for example, T899), are critical for transitioning GCN2 to an active state (carlson2023activationofgcn2 pages 111-116). Conversely, phosphorylation by other kinases, such as mTOR in conditions of hyperactivation, has been shown to modulate GCN2 activity; for instance, phosphorylation on serine 230 can influence its binding properties and overall kinase activity, and this modification is sensitive to Torin1 inhibition (darawshi2024phosphorylationofgcn2 pages 7-7). Regulatory proteins such as IMPACT and Yih1 also interact with GCN2 or its activator complex (GCN1/GCN20) to negatively regulate its activity, ensuring that under normal nutrient conditions the ISR is kept at bay (altintas2024generalcontrolnonderepressible pages 6-7, tatara2024emergingroleof pages 17-18). Furthermore, interactions with ribosomal components, including the ribosomal P-stalk, have been implicated in enhancing GCN2 activation in response to ribosome stalling, linking translation elongation status to initiation control (ishimura2016activationofgcn2 pages 2-3, tatara2024emergingroleof pages 11-12).</w:t>
      </w:r>
    </w:p>
    <w:p>
      <w:pPr>
        <w:numPr>
          <w:ilvl w:val="0"/>
          <w:numId w:val="1001"/>
        </w:numPr>
      </w:pPr>
      <w:r>
        <w:t xml:space="preserve">Function</w:t>
      </w:r>
      <w:r>
        <w:br/>
      </w:r>
      <w:r>
        <w:t xml:space="preserve">GCN2 functions as a critical sensor of metabolic stress, acting as a master regulator of the integrated stress response (ISR). Upon sensing amino acid deprivation through uncharged tRNA binding, GCN2 phosphorylates eIF2α, leading to an overall reduction in cap-dependent protein synthesis. This global attenuation of translation conserves cellular amino acids during nutrient scarcity and, at the same time, selectively promotes the translation of specific mRNAs, such as that encoding the transcription factor ATF4. The ATF4-dependent transcriptional programme leads to the induction of genes involved in amino acid biosynthesis, transport, redox homeostasis, and other adaptive processes that help cells cope with nutrient stress (altintas2024generalcontrolnonderepressible pages 1-2, altintas2024generalcontrolnonderepressible pages 8-8). Beyond its canonical role in amino acid sensing, GCN2 is implicated in multiple cellular pathways: it participates in cell cycle arrest by repressing cyclin D1 mRNA translation or by promoting the translation of cell cycle inhibitors like p21 in response to unfolded protein stress (altintas2024generalcontrolnonderepressible pages 6-7, lehman2015theroleof pages 94-97). In neurons, GCN2 has been associated with synaptic plasticity and memory consolidation, with its proper function being necessary for long-term memory formation and neurite outgrowth regulation (altintas2024generalcontrolnonderepressible pages 6-6, goodman2019therolesof pages 101-105). Its role in the innate antiviral response has also been documented; during alphavirus infection, for example, GCN2 activation impairs the translation of viral proteins by rapidly phosphorylating eIF2α, thus contributing to the host defense mechanism (altintas2024generalcontrolnonderepressible pages 8-8, goodman2019therolesofa pages 101-105). These diverse functions underscore GCN2’s key position in connecting nutrient availability and other stress signals to translational control and cellular adaptation (bruggenthies2021geneticandchemical pages 25-30, tatara2024emergingroleof pages 11-12).</w:t>
      </w:r>
    </w:p>
    <w:p>
      <w:pPr>
        <w:numPr>
          <w:ilvl w:val="0"/>
          <w:numId w:val="1001"/>
        </w:numPr>
      </w:pPr>
      <w:r>
        <w:t xml:space="preserve">Other Comments</w:t>
      </w:r>
      <w:r>
        <w:br/>
      </w:r>
      <w:r>
        <w:t xml:space="preserve">Several small molecule inhibitors and pharmacological agents have been reported to modulate GCN2 activity, most notably through ATP-competitive binding mechanisms; compounds such as GCN2iB, dabrafenib, and other type I½ inhibitors have been shown to interact with the ATP pocket of GCN2 and can even paradoxically activate the kinase at low concentrations (carlson2023activationofgcn2 pages 15-21, carlson2023activationofgcn2 pages 92-96). Moreover, disease associations for GCN2 are significant; mutations in EIF2AK4 are linked to pulmonary veno-occlusive disease, while dysregulation of GCN2 activity has been implicated in neurodegenerative disorders, cancer, and metabolic syndromes (altintas2024generalcontrolnonderepressible pages 7-8, goodman2019therolesof pages 101-105). In cancer, aberrant activation of the ISR via GCN2 can support tumor cell survival under nutrient stress, and inhibitors of GCN2 are being explored as potential therapeutic agents in this context (carlson2023activationofgcn2 pages 111-116, zhao2023multiplerolesof pages 18-19). In addition, GCN2 has been implicated in the antiviral response and in modulating immune cell functions, whereby its activation contributes to altered cytokine profiles and immune regulation under conditions of amino acid starvation (zhao2023multiplerolesof pages 9-11, tatara2024emergingroleof pages 17-18). These aspects make GCN2 an attractive target for therapeutic intervention in diseases involving metabolic and translational dysregulation.</w:t>
      </w:r>
    </w:p>
    <w:p>
      <w:pPr>
        <w:numPr>
          <w:ilvl w:val="0"/>
          <w:numId w:val="1001"/>
        </w:numPr>
      </w:pPr>
      <w:r>
        <w:t xml:space="preserve">References</w:t>
      </w:r>
      <w:r>
        <w:br/>
      </w:r>
      <w:r>
        <w:t xml:space="preserve">altintas2024generalcontrolnonderepressible pages 1-2; altintas2024generalcontrolnonderepressible pages 6-6; altintas2024generalcontrolnonderepressible pages 6-7; altintas2024generalcontrolnonderepressible pages 7-8; altintas2024generalcontrolnonderepressible pages 8-8; baird2014noveltargetsof pages 20-23; baird2014noveltargetsof pages 123-127; bruggenthies2021geneticandchemical pages 25-30; bruggenthies2021geneticandchemical pages 30-34; bruggenthies2021geneticandchemical pages 312-314; bruggenthies2021geneticandchemical pages 34-36; bruggenthies2021geneticandchemical pages 43-46; bruggenthies2021geneticandchemical pages 9-11; carlson2023activationofgcn2 pages 8-15; carlson2023activationofgcn2 pages 15-21; carlson2023activationofgcn2 pages 21-26; carlson2023activationofgcn2 pages 26-31; carlson2023activationofgcn2 pages 31-35; carlson2023activationofgcn2 pages 92-96; carlson2023activationofgcn2 pages 96-102; carlson2023activationofgcn2 pages 102-106; carlson2023activationofgcn2 pages 111-116; cardin2011functionofnck1 pages 61-66; coots2016evaluationofmrna pages 154-161; darawshi2024phosphorylationofgcn2 pages 7-7; donnelly2013theeif2αkinases pages 5-6; edens2023characterizationofarabidopsis pages 13-17; edens2023characterizationofarabidopsis pages 67-71; english2022a(dis)integratedstress pages 4-7; goodman2019therolesof pages 101-105; goodman2019therolesofa pages 101-105; ishimura2016activationofgcn2 pages 1-2; ishimura2016activationofgcn2 pages 2-3; jochmann2014identificationofribosomal pages 19-24; lehman2015theroleof pages 20-24; lehman2015theroleof pages 91-94; lehman2015theroleof pages 94-97; neill2024paradoxicalactivationof pages 13-16; rothenburg2016eif2α pages 1-4; rothenburg2016eif2α pages 4-8; tatara2024emergingroleof pages 1-2; tatara2024emergingroleof pages 11-12; tatara2024emergingroleof pages 17-18; zhao2023multiplerolesof pages 1-2; zhao2023multiplerolesof pages 2-4; zhao2023multiplerolesof pages 6-8; zhao2023multiplerolesof pages 9-11; zhao2023multiplerolesof pages 15-16; zhao2023multiplerolesof pages 18-19; alzahrani2016theeffectof pages 8-12.</w:t>
      </w:r>
    </w:p>
    <w:p>
      <w:pPr>
        <w:pStyle w:val="FirstParagraph"/>
      </w:pPr>
      <w:r>
        <w:t xml:space="preserve">References</w:t>
      </w:r>
    </w:p>
    <w:p>
      <w:pPr>
        <w:numPr>
          <w:ilvl w:val="0"/>
          <w:numId w:val="1002"/>
        </w:numPr>
      </w:pPr>
      <w:r>
        <w:t xml:space="preserve">(altintas2024generalcontrolnonderepressible pages 1-2): Ozlem Altintas and Michael R. MacArthur. General control nonderepressible 2 (gcn2) as a therapeutic target in age-related diseases. Frontiers in Aging, Sep 2024. URL: https://doi.org/10.3389/fragi.2024.1447370, doi:10.3389/fragi.2024.1447370. This article has 0 citations and is from a peer-reviewed journal.</w:t>
      </w:r>
    </w:p>
    <w:p>
      <w:pPr>
        <w:numPr>
          <w:ilvl w:val="0"/>
          <w:numId w:val="1002"/>
        </w:numPr>
      </w:pPr>
      <w:r>
        <w:t xml:space="preserve">(altintas2024generalcontrolnonderepressible pages 6-6): Ozlem Altintas and Michael R. MacArthur. General control nonderepressible 2 (gcn2) as a therapeutic target in age-related diseases. Frontiers in Aging, Sep 2024. URL: https://doi.org/10.3389/fragi.2024.1447370, doi:10.3389/fragi.2024.1447370. This article has 0 citations and is from a peer-reviewed journal.</w:t>
      </w:r>
    </w:p>
    <w:p>
      <w:pPr>
        <w:numPr>
          <w:ilvl w:val="0"/>
          <w:numId w:val="1002"/>
        </w:numPr>
      </w:pPr>
      <w:r>
        <w:t xml:space="preserve">(altintas2024generalcontrolnonderepressible pages 6-7): Ozlem Altintas and Michael R. MacArthur. General control nonderepressible 2 (gcn2) as a therapeutic target in age-related diseases. Frontiers in Aging, Sep 2024. URL: https://doi.org/10.3389/fragi.2024.1447370, doi:10.3389/fragi.2024.1447370. This article has 0 citations and is from a peer-reviewed journal.</w:t>
      </w:r>
    </w:p>
    <w:p>
      <w:pPr>
        <w:numPr>
          <w:ilvl w:val="0"/>
          <w:numId w:val="1002"/>
        </w:numPr>
      </w:pPr>
      <w:r>
        <w:t xml:space="preserve">(altintas2024generalcontrolnonderepressible pages 7-8): Ozlem Altintas and Michael R. MacArthur. General control nonderepressible 2 (gcn2) as a therapeutic target in age-related diseases. Frontiers in Aging, Sep 2024. URL: https://doi.org/10.3389/fragi.2024.1447370, doi:10.3389/fragi.2024.1447370. This article has 0 citations and is from a peer-reviewed journal.</w:t>
      </w:r>
    </w:p>
    <w:p>
      <w:pPr>
        <w:numPr>
          <w:ilvl w:val="0"/>
          <w:numId w:val="1002"/>
        </w:numPr>
      </w:pPr>
      <w:r>
        <w:t xml:space="preserve">(altintas2024generalcontrolnonderepressible pages 8-8): Ozlem Altintas and Michael R. MacArthur. General control nonderepressible 2 (gcn2) as a therapeutic target in age-related diseases. Frontiers in Aging, Sep 2024. URL: https://doi.org/10.3389/fragi.2024.1447370, doi:10.3389/fragi.2024.1447370. This article has 0 citations and is from a peer-reviewed journal.</w:t>
      </w:r>
    </w:p>
    <w:p>
      <w:pPr>
        <w:numPr>
          <w:ilvl w:val="0"/>
          <w:numId w:val="1002"/>
        </w:numPr>
      </w:pPr>
      <w:r>
        <w:t xml:space="preserve">(baird2014noveltargetsof pages 123-127): TD Baird. Novel targets of eif2 kinases determine cell fate during the integrated stress response. Unknown journal, 2014.</w:t>
      </w:r>
    </w:p>
    <w:p>
      <w:pPr>
        <w:numPr>
          <w:ilvl w:val="0"/>
          <w:numId w:val="1002"/>
        </w:numPr>
      </w:pPr>
      <w:r>
        <w:t xml:space="preserve">(baird2014noveltargetsof pages 20-23): TD Baird. Novel targets of eif2 kinases determine cell fate during the integrated stress response. Unknown journal, 2014.</w:t>
      </w:r>
    </w:p>
    <w:p>
      <w:pPr>
        <w:numPr>
          <w:ilvl w:val="0"/>
          <w:numId w:val="1002"/>
        </w:numPr>
      </w:pPr>
      <w:r>
        <w:t xml:space="preserve">(bruggenthies2021geneticandchemical pages 30-34): JB Brüggenthies. Genetic and chemical perturbation of amino acid sensing by the gcn1-gcn2 pathway. Unknown journal, 2021.</w:t>
      </w:r>
    </w:p>
    <w:p>
      <w:pPr>
        <w:numPr>
          <w:ilvl w:val="0"/>
          <w:numId w:val="1002"/>
        </w:numPr>
      </w:pPr>
      <w:r>
        <w:t xml:space="preserve">(bruggenthies2021geneticandchemical pages 312-314): JB Brüggenthies. Genetic and chemical perturbation of amino acid sensing by the gcn1-gcn2 pathway. Unknown journal, 2021.</w:t>
      </w:r>
    </w:p>
    <w:p>
      <w:pPr>
        <w:numPr>
          <w:ilvl w:val="0"/>
          <w:numId w:val="1002"/>
        </w:numPr>
      </w:pPr>
      <w:r>
        <w:t xml:space="preserve">(bruggenthies2021geneticandchemical pages 34-36): JB Brüggenthies. Genetic and chemical perturbation of amino acid sensing by the gcn1-gcn2 pathway. Unknown journal, 2021.</w:t>
      </w:r>
    </w:p>
    <w:p>
      <w:pPr>
        <w:numPr>
          <w:ilvl w:val="0"/>
          <w:numId w:val="1002"/>
        </w:numPr>
      </w:pPr>
      <w:r>
        <w:t xml:space="preserve">(bruggenthies2021geneticandchemical pages 43-46): JB Brüggenthies. Genetic and chemical perturbation of amino acid sensing by the gcn1-gcn2 pathway. Unknown journal, 2021.</w:t>
      </w:r>
    </w:p>
    <w:p>
      <w:pPr>
        <w:numPr>
          <w:ilvl w:val="0"/>
          <w:numId w:val="1002"/>
        </w:numPr>
      </w:pPr>
      <w:r>
        <w:t xml:space="preserve">(bruggenthies2021geneticandchemical pages 9-11): JB Brüggenthies. Genetic and chemical perturbation of amino acid sensing by the gcn1-gcn2 pathway. Unknown journal, 2021.</w:t>
      </w:r>
    </w:p>
    <w:p>
      <w:pPr>
        <w:numPr>
          <w:ilvl w:val="0"/>
          <w:numId w:val="1002"/>
        </w:numPr>
      </w:pPr>
      <w:r>
        <w:t xml:space="preserve">(carlson2023activationofgcn2 pages 102-106): KR Carlson. Activation of gcn2 by pharmacological agents designed to be inhibitors. Unknown journal, 2023.</w:t>
      </w:r>
    </w:p>
    <w:p>
      <w:pPr>
        <w:numPr>
          <w:ilvl w:val="0"/>
          <w:numId w:val="1002"/>
        </w:numPr>
      </w:pPr>
      <w:r>
        <w:t xml:space="preserve">(carlson2023activationofgcn2 pages 21-26): KR Carlson. Activation of gcn2 by pharmacological agents designed to be inhibitors. Unknown journal, 2023.</w:t>
      </w:r>
    </w:p>
    <w:p>
      <w:pPr>
        <w:numPr>
          <w:ilvl w:val="0"/>
          <w:numId w:val="1002"/>
        </w:numPr>
      </w:pPr>
      <w:r>
        <w:t xml:space="preserve">(carlson2023activationofgcn2 pages 26-31): KR Carlson. Activation of gcn2 by pharmacological agents designed to be inhibitors. Unknown journal, 2023.</w:t>
      </w:r>
    </w:p>
    <w:p>
      <w:pPr>
        <w:numPr>
          <w:ilvl w:val="0"/>
          <w:numId w:val="1002"/>
        </w:numPr>
      </w:pPr>
      <w:r>
        <w:t xml:space="preserve">(carlson2023activationofgcn2 pages 31-35): KR Carlson. Activation of gcn2 by pharmacological agents designed to be inhibitors. Unknown journal, 2023.</w:t>
      </w:r>
    </w:p>
    <w:p>
      <w:pPr>
        <w:numPr>
          <w:ilvl w:val="0"/>
          <w:numId w:val="1002"/>
        </w:numPr>
      </w:pPr>
      <w:r>
        <w:t xml:space="preserve">(carlson2023activationofgcn2 pages 8-15): KR Carlson. Activation of gcn2 by pharmacological agents designed to be inhibitors. Unknown journal, 2023.</w:t>
      </w:r>
    </w:p>
    <w:p>
      <w:pPr>
        <w:numPr>
          <w:ilvl w:val="0"/>
          <w:numId w:val="1002"/>
        </w:numPr>
      </w:pPr>
      <w:r>
        <w:t xml:space="preserve">(carlson2023activationofgcn2 pages 96-102): KR Carlson. Activation of gcn2 by pharmacological agents designed to be inhibitors. Unknown journal, 2023.</w:t>
      </w:r>
    </w:p>
    <w:p>
      <w:pPr>
        <w:numPr>
          <w:ilvl w:val="0"/>
          <w:numId w:val="1002"/>
        </w:numPr>
      </w:pPr>
      <w:r>
        <w:t xml:space="preserve">(edens2023characterizationofarabidopsis pages 13-17): M Edens. Characterization of arabidopsis eukaryotic translation initiation factor 2α (eif2α) mutants. Unknown journal, 2023.</w:t>
      </w:r>
    </w:p>
    <w:p>
      <w:pPr>
        <w:numPr>
          <w:ilvl w:val="0"/>
          <w:numId w:val="1002"/>
        </w:numPr>
      </w:pPr>
      <w:r>
        <w:t xml:space="preserve">(goodman2019therolesof pages 101-105): D Goodman. The roles of eif2 kinases pkr and gcn2 during mouse adenovirus type 1 infection. Unknown journal, 2019.</w:t>
      </w:r>
    </w:p>
    <w:p>
      <w:pPr>
        <w:numPr>
          <w:ilvl w:val="0"/>
          <w:numId w:val="1002"/>
        </w:numPr>
      </w:pPr>
      <w:r>
        <w:t xml:space="preserve">(ishimura2016activationofgcn2 pages 1-2): Ryuta Ishimura, Gabor Nagy, Ivan Dotu, Jeffrey H Chuang, and Susan L Ackerman. Activation of gcn2 kinase by ribosome stalling links translation elongation with translation initiation. eLife, Apr 2016. URL: https://doi.org/10.7554/elife.14295, doi:10.7554/elife.14295. This article has 212 citations and is from a domain leading peer-reviewed journal.</w:t>
      </w:r>
    </w:p>
    <w:p>
      <w:pPr>
        <w:numPr>
          <w:ilvl w:val="0"/>
          <w:numId w:val="1002"/>
        </w:numPr>
      </w:pPr>
      <w:r>
        <w:t xml:space="preserve">(jochmann2014identificationofribosomal pages 19-24): VA Jochmann. Identification of ribosomal proteins that are necessary for fully activating the protein kinase gcn2: a thesis presented in partial fulfilment of the requirements for the …. Unknown journal, 2014.</w:t>
      </w:r>
    </w:p>
    <w:p>
      <w:pPr>
        <w:numPr>
          <w:ilvl w:val="0"/>
          <w:numId w:val="1002"/>
        </w:numPr>
      </w:pPr>
      <w:r>
        <w:t xml:space="preserve">(lehman2015theroleof pages 20-24): SL Lehman. The role of the integrated stress response kinase gcn2 in cell cycle regulation and tumorigenesis. Unknown journal, 2015.</w:t>
      </w:r>
    </w:p>
    <w:p>
      <w:pPr>
        <w:numPr>
          <w:ilvl w:val="0"/>
          <w:numId w:val="1002"/>
        </w:numPr>
      </w:pPr>
      <w:r>
        <w:t xml:space="preserve">(lehman2015theroleof pages 91-94): SL Lehman. The role of the integrated stress response kinase gcn2 in cell cycle regulation and tumorigenesis. Unknown journal, 2015.</w:t>
      </w:r>
    </w:p>
    <w:p>
      <w:pPr>
        <w:numPr>
          <w:ilvl w:val="0"/>
          <w:numId w:val="1002"/>
        </w:numPr>
      </w:pPr>
      <w:r>
        <w:t xml:space="preserve">(lehman2015theroleof pages 94-97): SL Lehman. The role of the integrated stress response kinase gcn2 in cell cycle regulation and tumorigenesis. Unknown journal, 2015.</w:t>
      </w:r>
    </w:p>
    <w:p>
      <w:pPr>
        <w:numPr>
          <w:ilvl w:val="0"/>
          <w:numId w:val="1002"/>
        </w:numPr>
      </w:pPr>
      <w:r>
        <w:t xml:space="preserve">(neill2024paradoxicalactivationof pages 13-16): Graham Neill, Vanesa Vinciauskaite, Marilyn Paul, Rebecca Gilley, Simon J. Cook, and Glenn R. Masson. Paradoxical activation of gcn2 by atp-competitive inhibitors via allosteric activation and autophosphorylation. BioRxiv, Aug 2024. URL: https://doi.org/10.1101/2024.08.14.606984, doi:10.1101/2024.08.14.606984. This article has 1 citations.</w:t>
      </w:r>
    </w:p>
    <w:p>
      <w:pPr>
        <w:numPr>
          <w:ilvl w:val="0"/>
          <w:numId w:val="1002"/>
        </w:numPr>
      </w:pPr>
      <w:r>
        <w:t xml:space="preserve">(tatara2024emergingroleof pages 1-2): Yota Tatara, Shuya Kasai, Daichi Kokubu, Tadayuki Tsujita, Junsei Mimura, and Ken Itoh. Emerging role of gcn1 in disease and homeostasis. International Journal of Molecular Sciences, 25:2998, Mar 2024. URL: https://doi.org/10.3390/ijms25052998, doi:10.3390/ijms25052998. This article has 2 citations and is from a peer-reviewed journal.</w:t>
      </w:r>
    </w:p>
    <w:p>
      <w:pPr>
        <w:numPr>
          <w:ilvl w:val="0"/>
          <w:numId w:val="1002"/>
        </w:numPr>
      </w:pPr>
      <w:r>
        <w:t xml:space="preserve">(tatara2024emergingroleof pages 11-12): Yota Tatara, Shuya Kasai, Daichi Kokubu, Tadayuki Tsujita, Junsei Mimura, and Ken Itoh. Emerging role of gcn1 in disease and homeostasis. International Journal of Molecular Sciences, 25:2998, Mar 2024. URL: https://doi.org/10.3390/ijms25052998, doi:10.3390/ijms25052998. This article has 2 citations and is from a peer-reviewed journal.</w:t>
      </w:r>
    </w:p>
    <w:p>
      <w:pPr>
        <w:numPr>
          <w:ilvl w:val="0"/>
          <w:numId w:val="1002"/>
        </w:numPr>
      </w:pPr>
      <w:r>
        <w:t xml:space="preserve">(tatara2024emergingroleof pages 17-18): Yota Tatara, Shuya Kasai, Daichi Kokubu, Tadayuki Tsujita, Junsei Mimura, and Ken Itoh. Emerging role of gcn1 in disease and homeostasis. International Journal of Molecular Sciences, 25:2998, Mar 2024. URL: https://doi.org/10.3390/ijms25052998, doi:10.3390/ijms25052998. This article has 2 citations and is from a peer-reviewed journal.</w:t>
      </w:r>
    </w:p>
    <w:p>
      <w:pPr>
        <w:numPr>
          <w:ilvl w:val="0"/>
          <w:numId w:val="1002"/>
        </w:numPr>
      </w:pPr>
      <w:r>
        <w:t xml:space="preserve">(zhao2023multiplerolesof pages 1-2): Chenxu Zhao, Han Guo, Yangxiao Hou, Tong Lei, Dong Wei, and Yong Zhao. Multiple roles of the stress sensor gcn2 in immune cells. International Journal of Molecular Sciences, 24:4285, Feb 2023. URL: https://doi.org/10.3390/ijms24054285, doi:10.3390/ijms24054285. This article has 22 citations and is from a peer-reviewed journal.</w:t>
      </w:r>
    </w:p>
    <w:p>
      <w:pPr>
        <w:numPr>
          <w:ilvl w:val="0"/>
          <w:numId w:val="1002"/>
        </w:numPr>
      </w:pPr>
      <w:r>
        <w:t xml:space="preserve">(zhao2023multiplerolesof pages 15-16): Chenxu Zhao, Han Guo, Yangxiao Hou, Tong Lei, Dong Wei, and Yong Zhao. Multiple roles of the stress sensor gcn2 in immune cells. International Journal of Molecular Sciences, 24:4285, Feb 2023. URL: https://doi.org/10.3390/ijms24054285, doi:10.3390/ijms24054285. This article has 22 citations and is from a peer-reviewed journal.</w:t>
      </w:r>
    </w:p>
    <w:p>
      <w:pPr>
        <w:numPr>
          <w:ilvl w:val="0"/>
          <w:numId w:val="1002"/>
        </w:numPr>
      </w:pPr>
      <w:r>
        <w:t xml:space="preserve">(zhao2023multiplerolesof pages 18-19): Chenxu Zhao, Han Guo, Yangxiao Hou, Tong Lei, Dong Wei, and Yong Zhao. Multiple roles of the stress sensor gcn2 in immune cells. International Journal of Molecular Sciences, 24:4285, Feb 2023. URL: https://doi.org/10.3390/ijms24054285, doi:10.3390/ijms24054285. This article has 22 citations and is from a peer-reviewed journal.</w:t>
      </w:r>
    </w:p>
    <w:p>
      <w:pPr>
        <w:numPr>
          <w:ilvl w:val="0"/>
          <w:numId w:val="1002"/>
        </w:numPr>
      </w:pPr>
      <w:r>
        <w:t xml:space="preserve">(zhao2023multiplerolesof pages 2-4): Chenxu Zhao, Han Guo, Yangxiao Hou, Tong Lei, Dong Wei, and Yong Zhao. Multiple roles of the stress sensor gcn2 in immune cells. International Journal of Molecular Sciences, 24:4285, Feb 2023. URL: https://doi.org/10.3390/ijms24054285, doi:10.3390/ijms24054285. This article has 22 citations and is from a peer-reviewed journal.</w:t>
      </w:r>
    </w:p>
    <w:p>
      <w:pPr>
        <w:numPr>
          <w:ilvl w:val="0"/>
          <w:numId w:val="1002"/>
        </w:numPr>
      </w:pPr>
      <w:r>
        <w:t xml:space="preserve">(zhao2023multiplerolesof pages 6-8): Chenxu Zhao, Han Guo, Yangxiao Hou, Tong Lei, Dong Wei, and Yong Zhao. Multiple roles of the stress sensor gcn2 in immune cells. International Journal of Molecular Sciences, 24:4285, Feb 2023. URL: https://doi.org/10.3390/ijms24054285, doi:10.3390/ijms24054285. This article has 22 citations and is from a peer-reviewed journal.</w:t>
      </w:r>
    </w:p>
    <w:p>
      <w:pPr>
        <w:numPr>
          <w:ilvl w:val="0"/>
          <w:numId w:val="1002"/>
        </w:numPr>
      </w:pPr>
      <w:r>
        <w:t xml:space="preserve">(zhao2023multiplerolesof pages 9-11): Chenxu Zhao, Han Guo, Yangxiao Hou, Tong Lei, Dong Wei, and Yong Zhao. Multiple roles of the stress sensor gcn2 in immune cells. International Journal of Molecular Sciences, 24:4285, Feb 2023. URL: https://doi.org/10.3390/ijms24054285, doi:10.3390/ijms24054285. This article has 22 citations and is from a peer-reviewed journal.</w:t>
      </w:r>
    </w:p>
    <w:p>
      <w:pPr>
        <w:numPr>
          <w:ilvl w:val="0"/>
          <w:numId w:val="1002"/>
        </w:numPr>
      </w:pPr>
      <w:r>
        <w:t xml:space="preserve">(alzahrani2016theeffectof pages 8-12): Mohammed Alzahrani. The effect of alternative splicing on key regulators of the integrated stress response. Unknown journal, Aug 2016. URL: https://doi.org/10.7912/c24p43, doi:10.7912/c24p43. This article has 0 citations.</w:t>
      </w:r>
    </w:p>
    <w:p>
      <w:pPr>
        <w:numPr>
          <w:ilvl w:val="0"/>
          <w:numId w:val="1002"/>
        </w:numPr>
      </w:pPr>
      <w:r>
        <w:t xml:space="preserve">(bruggenthies2021geneticandchemical pages 25-30): JB Brüggenthies. Genetic and chemical perturbation of amino acid sensing by the gcn1-gcn2 pathway. Unknown journal, 2021.</w:t>
      </w:r>
    </w:p>
    <w:p>
      <w:pPr>
        <w:numPr>
          <w:ilvl w:val="0"/>
          <w:numId w:val="1002"/>
        </w:numPr>
      </w:pPr>
      <w:r>
        <w:t xml:space="preserve">(cardin2011functionofnck1 pages 61-66): E Cardin. Function of nck-1 adaptor protein as modulator of eif2alpha phosphorylation by specific eif2alpha kinases and pkr activity. Unknown journal, 2011.</w:t>
      </w:r>
    </w:p>
    <w:p>
      <w:pPr>
        <w:numPr>
          <w:ilvl w:val="0"/>
          <w:numId w:val="1002"/>
        </w:numPr>
      </w:pPr>
      <w:r>
        <w:t xml:space="preserve">(carlson2023activationofgcn2 pages 111-116): KR Carlson. Activation of gcn2 by pharmacological agents designed to be inhibitors. Unknown journal, 2023.</w:t>
      </w:r>
    </w:p>
    <w:p>
      <w:pPr>
        <w:numPr>
          <w:ilvl w:val="0"/>
          <w:numId w:val="1002"/>
        </w:numPr>
      </w:pPr>
      <w:r>
        <w:t xml:space="preserve">(carlson2023activationofgcn2 pages 15-21): KR Carlson. Activation of gcn2 by pharmacological agents designed to be inhibitors. Unknown journal, 2023.</w:t>
      </w:r>
    </w:p>
    <w:p>
      <w:pPr>
        <w:numPr>
          <w:ilvl w:val="0"/>
          <w:numId w:val="1002"/>
        </w:numPr>
      </w:pPr>
      <w:r>
        <w:t xml:space="preserve">(carlson2023activationofgcn2 pages 92-96): KR Carlson. Activation of gcn2 by pharmacological agents designed to be inhibitors. Unknown journal, 2023.</w:t>
      </w:r>
    </w:p>
    <w:p>
      <w:pPr>
        <w:numPr>
          <w:ilvl w:val="0"/>
          <w:numId w:val="1002"/>
        </w:numPr>
      </w:pPr>
      <w:r>
        <w:t xml:space="preserve">(coots2016evaluationofmrna pages 154-161): R Coots. Evaluation of mrna translation initiation control mechanisms under cellular stress conditions. Unknown journal, 2016.</w:t>
      </w:r>
    </w:p>
    <w:p>
      <w:pPr>
        <w:numPr>
          <w:ilvl w:val="0"/>
          <w:numId w:val="1002"/>
        </w:numPr>
      </w:pPr>
      <w:r>
        <w:t xml:space="preserve">(darawshi2024phosphorylationofgcn2 pages 7-7): Odai Darawshi, Olaya Yassin, Miri Shmuel, Ronald C. Wek, S. Jalil Mahdizadeh, Leif A. Eriksson, Maria Hatzoglou, and Boaz Tirosh. Phosphorylation of gcn2 by mtor confers adaptation to conditions of hyper-mtor activation under stress. Journal of Biological Chemistry, 300:107575, Aug 2024. URL: https://doi.org/10.1016/j.jbc.2024.107575, doi:10.1016/j.jbc.2024.107575. This article has 4 citations and is from a domain leading peer-reviewed journal.</w:t>
      </w:r>
    </w:p>
    <w:p>
      <w:pPr>
        <w:numPr>
          <w:ilvl w:val="0"/>
          <w:numId w:val="1002"/>
        </w:numPr>
      </w:pPr>
      <w:r>
        <w:t xml:space="preserve">(donnelly2013theeif2αkinases pages 5-6): Neysan Donnelly, Adrienne M. Gorman, Sanjeev Gupta, and Afshin Samali. The eif2α kinases: their structures and functions. Cellular and Molecular Life Sciences, 70:3493-3511, Jan 2013. URL: https://doi.org/10.1007/s00018-012-1252-6, doi:10.1007/s00018-012-1252-6. This article has 1029 citations and is from a domain leading peer-reviewed journal.</w:t>
      </w:r>
    </w:p>
    <w:p>
      <w:pPr>
        <w:numPr>
          <w:ilvl w:val="0"/>
          <w:numId w:val="1002"/>
        </w:numPr>
      </w:pPr>
      <w:r>
        <w:t xml:space="preserve">(edens2023characterizationofarabidopsis pages 67-71): M Edens. Characterization of arabidopsis eukaryotic translation initiation factor 2α (eif2α) mutants. Unknown journal, 2023.</w:t>
      </w:r>
    </w:p>
    <w:p>
      <w:pPr>
        <w:numPr>
          <w:ilvl w:val="0"/>
          <w:numId w:val="1002"/>
        </w:numPr>
      </w:pPr>
      <w:r>
        <w:t xml:space="preserve">(english2022a(dis)integratedstress pages 4-7): Alyssa M. English, Katelyn M. Green, and Stephanie L. Moon. A (dis)integrated stress response: genetic diseases of</w:t>
      </w:r>
      <w:r>
        <w:t xml:space="preserve"> </w:t>
      </w:r>
      <w:r>
        <w:t xml:space="preserve">eif2α</w:t>
      </w:r>
      <w:r>
        <w:t xml:space="preserve"> </w:t>
      </w:r>
      <w:r>
        <w:t xml:space="preserve">regulators. WIREs RNA, Aug 2022. URL: https://doi.org/10.1002/wrna.1689, doi:10.1002/wrna.1689. This article has 26 citations.</w:t>
      </w:r>
    </w:p>
    <w:p>
      <w:pPr>
        <w:numPr>
          <w:ilvl w:val="0"/>
          <w:numId w:val="1002"/>
        </w:numPr>
      </w:pPr>
      <w:r>
        <w:t xml:space="preserve">(goodman2019therolesofa pages 101-105): D Goodman. The roles of eif2 kinases pkr and gcn2 during mouse adenovirus type 1 infection. Unknown journal, 2019.</w:t>
      </w:r>
    </w:p>
    <w:p>
      <w:pPr>
        <w:numPr>
          <w:ilvl w:val="0"/>
          <w:numId w:val="1002"/>
        </w:numPr>
      </w:pPr>
      <w:r>
        <w:t xml:space="preserve">(ishimura2016activationofgcn2 pages 2-3): Ryuta Ishimura, Gabor Nagy, Ivan Dotu, Jeffrey H Chuang, and Susan L Ackerman. Activation of gcn2 kinase by ribosome stalling links translation elongation with translation initiation. eLife, Apr 2016. URL: https://doi.org/10.7554/elife.14295, doi:10.7554/elife.14295. This article has 212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2025-05-23T14:19:05Z</dcterms:created>
  <dcterms:modified xsi:type="dcterms:W3CDTF">2025-05-23T14:19:05Z</dcterms:modified>
</cp:coreProperties>
</file>

<file path=docProps/custom.xml><?xml version="1.0" encoding="utf-8"?>
<Properties xmlns="http://schemas.openxmlformats.org/officeDocument/2006/custom-properties" xmlns:vt="http://schemas.openxmlformats.org/officeDocument/2006/docPropsVTypes"/>
</file>