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tousled‐like 1 (TLK1) belongs to the Tousled‐like kinase (TLK) family, which is highly conserved among multicellular eukaryotes. TLK1, together with its paralog TLK2, is present in mammals and can be traced evolutionarily from plants such as Arabidopsis thaliana to humans, while being notably absent in unicellular fungi such as Saccharomyces cerevisiae (sillje1999mammalianhomologuesof pages 9-10, benedetti2012thetousledlikekinases pages 2-3). The TLK family forms part of the broader protein kinase superfamily and is classified within the serine/threonine kinases. Their phylogenetic distribution is consistent with an essential role in multicellular development and cellular homeostasis, and their conservation suggests that the catalytic mechanisms and regulation of TLKs are maintained across species (sillje1999mammalianhomologuesof pages 9-10).</w:t>
      </w:r>
    </w:p>
    <w:p>
      <w:pPr>
        <w:numPr>
          <w:ilvl w:val="0"/>
          <w:numId w:val="1001"/>
        </w:numPr>
      </w:pPr>
      <w:r>
        <w:t xml:space="preserve">Reaction Catalyzed</w:t>
      </w:r>
      <w:r>
        <w:br/>
      </w:r>
      <w:r>
        <w:t xml:space="preserve">TLK1 catalyzes the transfer of a phosphate group from ATP to specific serine or threonine residues on substrate proteins. The general chemical reaction is as follows:</w:t>
      </w:r>
      <w:r>
        <w:br/>
      </w:r>
      <w:r>
        <w:t xml:space="preserve">  ATP + [protein]–(L‐serine or L‐threonine) → ADP + [protein]–(phospho-L‐serine/threonine) + H⁺</w:t>
      </w:r>
      <w:r>
        <w:br/>
      </w:r>
      <w:r>
        <w:t xml:space="preserve">This reaction is characteristic of serine/threonine kinases, conferring the ability to modulate the function of proteins by phosphorylation (benedetti2012thetousledlikekinases pages 2-3).</w:t>
      </w:r>
    </w:p>
    <w:p>
      <w:pPr>
        <w:numPr>
          <w:ilvl w:val="0"/>
          <w:numId w:val="1001"/>
        </w:numPr>
      </w:pPr>
      <w:r>
        <w:t xml:space="preserve">Cofactor Requirements</w:t>
      </w:r>
      <w:r>
        <w:br/>
      </w:r>
      <w:r>
        <w:t xml:space="preserve">Like most serine/threonine kinases, TLK1 requires divalent metal ions to coordinate ATP binding and catalysis. In vitro studies as well as comparisons with well‐characterized kinases confirm that TLK1 activity depends on Mg²⁺ as the primary cofactor, which serves to position ATP correctly within the catalytic pocket for efficient phosphate transfer (benedetti2012thetousledlikekinases pages 2-3).</w:t>
      </w:r>
    </w:p>
    <w:p>
      <w:pPr>
        <w:numPr>
          <w:ilvl w:val="0"/>
          <w:numId w:val="1001"/>
        </w:numPr>
      </w:pPr>
      <w:r>
        <w:t xml:space="preserve">Substrate Specificity</w:t>
      </w:r>
      <w:r>
        <w:br/>
      </w:r>
      <w:r>
        <w:t xml:space="preserve">TLK1 exhibits substrate specificity that involves phosphorylation of targets implicated in chromatin dynamics and DNA damage responses. Key substrates include:</w:t>
      </w:r>
      <w:r>
        <w:br/>
      </w:r>
      <w:r>
        <w:t xml:space="preserve">• Histone H3, phosphorylated on serine 10 in vitro, a modification associated with chromatin condensation and replication–dependent chromatin assembly (benedetti2012thetousledlikekinases pages 1-2, sunavala‐dossabhoy2018preservingsalivarygland pages 6-7).</w:t>
      </w:r>
      <w:r>
        <w:br/>
      </w:r>
      <w:r>
        <w:t xml:space="preserve">• The DNA damage checkpoint protein Rad9 where phosphorylation (for example at serine 328) modulates its association with the 9-1-1 complex following double-stranded break repair, thereby influencing checkpoint recovery (benedetti2012thetousledlikekinases pages 2-3).</w:t>
      </w:r>
      <w:r>
        <w:br/>
      </w:r>
      <w:r>
        <w:t xml:space="preserve">• Isoform 3 of TLK1 phosphorylates the t-SNARE SNAP23, enhancing its stability and promoting its assembly with syntaxin, a process integral to membrane fusion events in cellular repair and vesicular transport (khalil2022tousledlikekinase1 pages 1-3).</w:t>
      </w:r>
      <w:r>
        <w:br/>
      </w:r>
      <w:r>
        <w:t xml:space="preserve">Although detailed consensus substrate motifs have not been fully delineated in the available literature, the substrate repertoire of TLK1 centers on proteins involved in chromatin assembly, DNA repair and cell cycle checkpoint regulation (khalil2022tousledlikekinase1 pages 1-3, sunavala‐dossabhoy2018preservingsalivarygland pages 6-7).</w:t>
      </w:r>
    </w:p>
    <w:p>
      <w:pPr>
        <w:numPr>
          <w:ilvl w:val="0"/>
          <w:numId w:val="1001"/>
        </w:numPr>
      </w:pPr>
      <w:r>
        <w:t xml:space="preserve">Structure</w:t>
      </w:r>
      <w:r>
        <w:br/>
      </w:r>
      <w:r>
        <w:t xml:space="preserve">The domain organization of TLK1 encompasses a large N-terminal regulatory region and a C-terminal catalytic domain. The C-terminal domain contains the conserved serine/threonine kinase catalytic module common to many eukaryotic kinases, including conserved motifs that mediate ATP binding and catalysis. In addition, TLK1 features predicted coiled-coil motifs within its N-terminal region that are believed to facilitate dimerization or oligomerization, which is an essential aspect of full catalytic activity (sillje1999mammalianhomologuesof pages 9-10, buron2014theroleof pages 43-48). Structural models generated from experimental data or predicted by AlphaFold reveal that the kinase domain of TLK1 is organized into the canonical small N-terminal lobe and larger C-terminal lobe structure seen in many serine/threonine kinases. The activation loop, hydrophobic spine, and the C-helix are present and are considered crucial for the regulation of catalytic activity; however, unique structural features such as extended regulatory regions may contribute to specialized functions in chromatin assembly. Isoform 3, which has been implicated in phosphorylating SNAP23, retains the catalytic C-terminal domain while having a distinct N-terminal segment that likely imparts substrate specificity and regulatory control (buron2014theroleof pages 43-48, paya2021thetousledlikekinases pages 37-40).</w:t>
      </w:r>
    </w:p>
    <w:p>
      <w:pPr>
        <w:numPr>
          <w:ilvl w:val="0"/>
          <w:numId w:val="1001"/>
        </w:numPr>
      </w:pPr>
      <w:r>
        <w:t xml:space="preserve">Regulation</w:t>
      </w:r>
      <w:r>
        <w:br/>
      </w:r>
      <w:r>
        <w:t xml:space="preserve">TLK1 activity is tightly regulated by cell cycle and DNA damage response mechanisms. During the S-phase, TLK1 exhibits maximal activity to participate in processes such as chromatin assembly and DNA replication. However, following the generation of DNA double-stranded breaks (DSBs), TLK1 is rapidly and transiently inhibited via phosphorylation events that are checkpoint- and ATM-pathway dependent (benedetti2012thetousledlikekinases pages 2-3, khalil2022tousledlikekinase1 pages 1-3). In particular, checkpoint kinase CHK1 has been implicated in phosphorylating TLK1 upon genotoxic stress, leading to a reduction in its kinase activity—a regulatory strategy that prevents premature chromatin assembly during active DNA damage repair (sunavala‐dossabhoy2018preservingsalivarygland pages 6-7). Furthermore, such regulatory phosphorylation events are reversible, which allows TLK1 to resume activity once repair is complete and proper cell cycle progression is re-established. The mechanism of TLK1 regulation is thus integrated with the overall DNA damage and replication checkpoint network, ensuring that TLK1-mediated processes such as chromatin assembly occur only under appropriate cellular conditions (benedetti2012thetousledlikekinases pages 2-3, khalil2022tousledlikekinase1 pages 1-3).</w:t>
      </w:r>
    </w:p>
    <w:p>
      <w:pPr>
        <w:numPr>
          <w:ilvl w:val="0"/>
          <w:numId w:val="1001"/>
        </w:numPr>
      </w:pPr>
      <w:r>
        <w:t xml:space="preserve">Function</w:t>
      </w:r>
      <w:r>
        <w:br/>
      </w:r>
      <w:r>
        <w:t xml:space="preserve">TLK1 functions as a critical mediator of genome stability by linking chromatin assembly with the DNA damage response and cell cycle regulation. Its primary biological roles include:</w:t>
      </w:r>
      <w:r>
        <w:br/>
      </w:r>
      <w:r>
        <w:t xml:space="preserve">• Facilitation of chromatin assembly during DNA replication by phosphorylating histone chaperones such as ASF1, thereby ensuring proper nucleosome assembly on newly replicated DNA (benedetti2012thetousledlikekinases pages 2-3, buron2014theroleof pages 43-48).</w:t>
      </w:r>
      <w:r>
        <w:br/>
      </w:r>
      <w:r>
        <w:t xml:space="preserve">• Regulation of the DNA damage response through phosphorylation of Rad9, a component of the 9-1-1 checkpoint complex, which influences checkpoint deactivation and permits cell cycle re-entry once DNA repair is completed (benedetti2012thetousledlikekinases pages 2-3).</w:t>
      </w:r>
      <w:r>
        <w:br/>
      </w:r>
      <w:r>
        <w:t xml:space="preserve">• Protection of cells from ionizing radiation. Isoform 3 of TLK1 phosphorylates and enhances the stability of SNAP23, which in turn augments the assembly of SNAP23 with syntaxin, a process that facilitates repair of DNA double-stranded breaks and contributes to radioresistance (khalil2022tousledlikekinase1 pages 1-3).</w:t>
      </w:r>
      <w:r>
        <w:br/>
      </w:r>
      <w:r>
        <w:t xml:space="preserve">• Phosphorylation of histone H3 at serine 10 in vitro, a modification that has been associated with chromosomal condensation during mitosis as well as potentially modulating chromatin states during replication and repair (benedetti2012thetousledlikekinases pages 1-2, sunavala‐dossabhoy2018preservingsalivarygland pages 6-7).</w:t>
      </w:r>
      <w:r>
        <w:br/>
      </w:r>
      <w:r>
        <w:t xml:space="preserve">TLK1 is ubiquitously expressed in mammalian tissues with its activity predominantly peaking during S-phase when DNA replication and repair processes are most active. The protein operates as a nexus integrating signals from cell cycle checkpoints and the DNA damage response, ensuring that chromatin assembly and related cellular processes are coordinated with genomic integrity maintenance (khalil2022tousledlikekinase1 pages 1-3, buron2014theroleof pages 144-147).</w:t>
      </w:r>
    </w:p>
    <w:p>
      <w:pPr>
        <w:numPr>
          <w:ilvl w:val="0"/>
          <w:numId w:val="1001"/>
        </w:numPr>
      </w:pPr>
      <w:r>
        <w:t xml:space="preserve">Other Comments</w:t>
      </w:r>
      <w:r>
        <w:br/>
      </w:r>
      <w:r>
        <w:t xml:space="preserve">Experimental inhibitor screens have been conducted with TLK family members, and although specific TLK1 inhibitors have not achieved the same level of investigation as some other kinases, their role in maintaining genome stability continues to render them attractive targets for therapeutic intervention in cancers that exhibit aberrant DNA repair dynamics. TLK1’s involvement in safeguarding cells against ionizing radiation and its contribution to radioresistance in carcinoma models point to its potential relevance in cancer therapy, particularly in strategies aimed at sensitizing tumor cells to DNA-damaging agents (benedetti2012thetousledlikekinases pages 2-3, buron2014theroleof pages 144-147). Notable disease associations include its implications in cancer progression due to failures in cell cycle regulation and DNA repair, and its activity may serve as a biomarker for cellular responses to genotoxic stress. Furthermore, the differential functionalities between TLK1 isoforms, such as the unique role of isoform 3 in SNAP23 regulation, underscore the complexity of TLK1 functions and may eventually inform the development of isoform-specific inhibitors. The current literature provides a strong foundation for understanding TLK1’s role in chromatin dynamics while also indicating that further structural and mechanistic studies are needed to delineate the full spectrum of its substrate specificities and regulatory interactions (khalil2022tousledlikekinase1 pages 1-3, sunavala‐dossabhoy2018preservingsalivarygland pages 6-7).</w:t>
      </w:r>
    </w:p>
    <w:p>
      <w:pPr>
        <w:numPr>
          <w:ilvl w:val="0"/>
          <w:numId w:val="1001"/>
        </w:numPr>
      </w:pPr>
      <w:r>
        <w:t xml:space="preserve">References</w:t>
      </w:r>
      <w:r>
        <w:br/>
      </w:r>
      <w:r>
        <w:t xml:space="preserve">Benedetti, Arrigo De Benedetti. The tousled-like kinases as guardians of genome integrity. ISRN Molecular Biology, 2012:1-9, May 2012. URL: https://doi.org/10.5402/2012/627596, doi:10.5402/2012/627596. (benedetti2012thetousledlikekinases pages 1-2, benedetti2012thetousledlikekinases pages 2-3)</w:t>
      </w:r>
      <w:r>
        <w:br/>
      </w:r>
      <w:r>
        <w:t xml:space="preserve">Buron, H. González. The role of the tousled like kinases in genome stability and mammalian development. Unknown journal, 2014, pages 144-147, pages 43-48. (buron2014theroleof pages 144-147, buron2014theroleof pages 43-48)</w:t>
      </w:r>
      <w:r>
        <w:br/>
      </w:r>
      <w:r>
        <w:t xml:space="preserve">Ehsan, H. Molecular basis and functional diversity of tousled kinase. Unknown journal, 2020, pages 1-3. (ehsan2020molecularbasisand pages 1-3)</w:t>
      </w:r>
      <w:r>
        <w:br/>
      </w:r>
      <w:r>
        <w:t xml:space="preserve">Khalil, Md Imtiaz, and Arrigo De Benedetti. Tousled-like kinase 1: a novel factor with multifaceted role in mCRPC progression and development of therapy resistance. Cancer Drug Resistance, 2022, pages 1-3. (khalil2022tousledlikekinase1 pages 1-3)</w:t>
      </w:r>
      <w:r>
        <w:br/>
      </w:r>
      <w:r>
        <w:t xml:space="preserve">Sunavala‐Dossabhoy, G. Preserving salivary gland physiology against genotoxic damage – the tousled way. Oral Diseases, 2018, pages 6-7. (sunavala‐dossabhoy2018preservingsalivarygland pages 6-7)</w:t>
      </w:r>
      <w:r>
        <w:br/>
      </w:r>
      <w:r>
        <w:t xml:space="preserve">Sillje, H. et al. Mammalian homologues of the plant tousled gene code for cell-cycle-regulated kinases with maximal activities linked to ongoing DNA replication. The EMBO Journal, 1999, pages 9-10. (sillje1999mammalianhomologuesof pages 9-10)</w:t>
      </w:r>
    </w:p>
    <w:p>
      <w:pPr>
        <w:pStyle w:val="FirstParagraph"/>
      </w:pPr>
      <w:r>
        <w:t xml:space="preserve">(Additional citations from relevant pages are integrated in-line in the report.)</w:t>
      </w:r>
    </w:p>
    <w:p>
      <w:pPr>
        <w:pStyle w:val="BodyText"/>
      </w:pPr>
      <w:r>
        <w:t xml:space="preserve">References</w:t>
      </w:r>
    </w:p>
    <w:p>
      <w:pPr>
        <w:numPr>
          <w:ilvl w:val="0"/>
          <w:numId w:val="1002"/>
        </w:numPr>
      </w:pPr>
      <w:r>
        <w:t xml:space="preserve">(benedetti2012thetousledlikekinases pages 2-3):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(buron2014theroleof pages 144-147): H González Burón. The role of the tousled like kinases in genome stability and mammalian development. Unknown journal, 2014.</w:t>
      </w:r>
    </w:p>
    <w:p>
      <w:pPr>
        <w:numPr>
          <w:ilvl w:val="0"/>
          <w:numId w:val="1002"/>
        </w:numPr>
      </w:pPr>
      <w:r>
        <w:t xml:space="preserve">(buron2014theroleof pages 43-48): H González Burón. The role of the tousled like kinases in genome stability and mammalian development. Unknown journal, 2014.</w:t>
      </w:r>
    </w:p>
    <w:p>
      <w:pPr>
        <w:numPr>
          <w:ilvl w:val="0"/>
          <w:numId w:val="1002"/>
        </w:numPr>
      </w:pPr>
      <w:r>
        <w:t xml:space="preserve">(ehsan2020molecularbasisand pages 1-3): H Ehsan. Molecular basis and functional diversity of tousled kinase. Unknown journal, 2020.</w:t>
      </w:r>
    </w:p>
    <w:p>
      <w:pPr>
        <w:numPr>
          <w:ilvl w:val="0"/>
          <w:numId w:val="1002"/>
        </w:numPr>
      </w:pPr>
      <w:r>
        <w:t xml:space="preserve">(khalil2022tousledlikekinase1 pages 1-3): Md Imtiaz Khalil and Arrigo De Benedetti. Tousled-like kinase 1: a novel factor with multifaceted role in mcrpc progression and development of therapy resistance. Cancer Drug Resistance, 5:93-101, Jan 2022. URL: https://doi.org/10.20517/cdr.2021.109, doi:10.20517/cdr.2021.109. This article has 17 citations.</w:t>
      </w:r>
    </w:p>
    <w:p>
      <w:pPr>
        <w:numPr>
          <w:ilvl w:val="0"/>
          <w:numId w:val="1002"/>
        </w:numPr>
      </w:pPr>
      <w:r>
        <w:t xml:space="preserve">(paya2021thetousledlikekinases pages 37-40): M Villamor Payà. The tousled-like kinases and their implications in cancer and neurodevelopmental disorders. Unknown journal, 2021.</w:t>
      </w:r>
    </w:p>
    <w:p>
      <w:pPr>
        <w:numPr>
          <w:ilvl w:val="0"/>
          <w:numId w:val="1002"/>
        </w:numPr>
      </w:pPr>
      <w:r>
        <w:t xml:space="preserve">(sillje1999mammalianhomologuesof pages 9-10):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(sunavala‐dossabhoy2018preservingsalivarygland pages 6-7): G Sunavala‐Dossabhoy. Preserving salivary gland physiology against genotoxic damage ‐ the tousled way. Oral Diseases, 24:1390-1398, May 2018. URL: https://doi.org/10.1111/odi.12836, doi:10.1111/odi.12836. This article has 18 citations and is from a domain leading peer-reviewed journal.</w:t>
      </w:r>
    </w:p>
    <w:p>
      <w:pPr>
        <w:numPr>
          <w:ilvl w:val="0"/>
          <w:numId w:val="1002"/>
        </w:numPr>
      </w:pPr>
      <w:r>
        <w:t xml:space="preserve">(benedetti2012thetousledlikekinases pages 1-2): Arrigo De Benedetti. The tousled-like kinases as guardians of genome integrity. ISRN Molecular Biology, 2012:1-9, May 2012. URL: https://doi.org/10.5402/2012/627596, doi:10.5402/2012/627596. This article has 44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2025-05-23T18:26:45Z</dcterms:created>
  <dcterms:modified xsi:type="dcterms:W3CDTF">2025-05-23T18:26:45Z</dcterms:modified>
</cp:coreProperties>
</file>

<file path=docProps/custom.xml><?xml version="1.0" encoding="utf-8"?>
<Properties xmlns="http://schemas.openxmlformats.org/officeDocument/2006/custom-properties" xmlns:vt="http://schemas.openxmlformats.org/officeDocument/2006/docPropsVTypes"/>
</file>