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RIPK4 is a member of the receptor‐interacting protein kinase (RIPK) family, a group of serine/threonine kinases that are evolutionarily conserved from invertebrates to vertebrates and classified within the human kinome based on common catalytic domain features (cuny2021ripkproteinkinase pages 1-2). Orthologs of RIPK4 can be found in mammals, birds, and amphibians, with a high degree of conservation in the kinase domain and the characteristic C-terminal ankyrin repeat region (fransen2011exploringtherole pages 137-139, lv2022comparativeandevolutionary pages 1-3). Within the kinome, RIPK4 is grouped with other RIP kinases and shares a closer evolutionary relationship with RIPK5, particularly because both possess ankyrin repeats in their C-termini, while diverging in domain organization from the RHIM-containing RIPK1 and RIPK3 or the CARD-containing RIPK2 (urwylerrosselet2023functionsofthe pages 12-13, lv2022comparativeandevolutionary pages 24-24).</w:t>
      </w:r>
    </w:p>
    <w:p>
      <w:pPr>
        <w:numPr>
          <w:ilvl w:val="0"/>
          <w:numId w:val="1001"/>
        </w:numPr>
      </w:pPr>
      <w:r>
        <w:t xml:space="preserve">Reaction Catalyzed</w:t>
      </w:r>
      <w:r>
        <w:br/>
      </w:r>
      <w:r>
        <w:t xml:space="preserve">RIPK4 catalyzes the phosphorylation reaction in which ATP and a protein substrate containing L-serine or L-threonine residues are converted to ADP, a phosphorylated protein, and a proton, thereby transferring a phosphoryl group to its substrate (template similarity; buyseUnknownyearinvestigatingthepkcηripk4 pages 14-16).</w:t>
      </w:r>
    </w:p>
    <w:p>
      <w:pPr>
        <w:numPr>
          <w:ilvl w:val="0"/>
          <w:numId w:val="1001"/>
        </w:numPr>
      </w:pPr>
      <w:r>
        <w:t xml:space="preserve">Cofactor Requirements</w:t>
      </w:r>
      <w:r>
        <w:br/>
      </w:r>
      <w:r>
        <w:t xml:space="preserve">The catalytic activity of RIPK4, as a serine/threonine kinase, depends on the presence of divalent cations, with Mg²⁺ being the primary cofactor required for optimal ATP binding and phosphoryl transfer (template similarity; misehe2024designsynthesisanda pages 44-49).</w:t>
      </w:r>
    </w:p>
    <w:p>
      <w:pPr>
        <w:numPr>
          <w:ilvl w:val="0"/>
          <w:numId w:val="1001"/>
        </w:numPr>
      </w:pPr>
      <w:r>
        <w:t xml:space="preserve">Substrate Specificity</w:t>
      </w:r>
      <w:r>
        <w:br/>
      </w:r>
      <w:r>
        <w:t xml:space="preserve">RIPK4 selectively phosphorylates serine/threonine residues on protein substrates, and its substrates include proteins involved in epidermal differentiation and cell adhesion such as plakophilin-1 (PKP1) (buyseUnknownyearinvestigatingthepkcηripk4 pages 14-16). Additionally, RIPK4 phosphorylates Dishevelled 2 (DVL2) in the context of canonical Wnt signaling, where its catalytic activity underlies β-catenin stabilization, although the precise consensus substrate motif has not been fully delineated (huang2013phosphorylationofdishevelled pages 1-1). Other substrates include transcription factors such as IRF6, whose phosphorylation is central to keratinocyte differentiation and epidermal barrier formation (cuny2021ripkproteinkinase pages 8-8). Experiments employing chimeric constructs have demonstrated that the intrinsic kinase domain of RIPK4, when juxtaposed with regulatory domains of other kinases, can exhibit dual-specificity autophosphorylation activity, further emphasizing the substrate-driven context of its specificity (chirieleison2016syntheticbiologyreveals pages 7-9).</w:t>
      </w:r>
    </w:p>
    <w:p>
      <w:pPr>
        <w:numPr>
          <w:ilvl w:val="0"/>
          <w:numId w:val="1001"/>
        </w:numPr>
      </w:pPr>
      <w:r>
        <w:t xml:space="preserve">Structure</w:t>
      </w:r>
      <w:r>
        <w:br/>
      </w:r>
      <w:r>
        <w:t xml:space="preserve">RIPK4 comprises an N-terminal kinase domain that retains all canonical motifs of serine/threonine kinases, including the ATP-binding P-loop, a catalytic loop containing the conserved HXD motif, and an activation loop whose phosphorylation likely modulates its catalytic activity (fransen2011exploringtherole pages 122-124, kalay2012mutationsinripk4 pages 3-4). The kinase domain is followed by an intermediate segment and a unique C-terminal region containing eleven ankyrin repeats; these repeats mediate protein–protein interactions essential for downstream signaling and may also exert autoinhibitory functions to modulate kinase activity (buyseUnknownyearinvestigatingthepkcηripk4 pages 14-16, fransen2011exploringtherole pages 122-124). Structural studies, including crystallographic data, have indicated that RIPK4’s kinase domain functions in a dimerization-dependent manner, where the formation of dimers is critical for its full catalytic activation, with structural elements such as the hydrophobic spine and the C-helix playing key roles in stabilizing the active conformation (cuny2021ripkproteinkinase pages 8-8, chirieleison2016syntheticbiologyreveals pages 9-11). Although explicit details of the activation loop conformation in RIPK4 are not provided, the high sequence conservation across RIP kinases supports the presence of these canonical structural features (lv2022comparativeandevolutionary pages 1-3).</w:t>
      </w:r>
    </w:p>
    <w:p>
      <w:pPr>
        <w:numPr>
          <w:ilvl w:val="0"/>
          <w:numId w:val="1001"/>
        </w:numPr>
      </w:pPr>
      <w:r>
        <w:t xml:space="preserve">Regulation</w:t>
      </w:r>
      <w:r>
        <w:br/>
      </w:r>
      <w:r>
        <w:t xml:space="preserve">RIPK4 is regulated by multiple post-translational mechanisms; phosphorylation events within its kinase domain contribute to its activation and may occur through autophosphorylation or via upstream kinases such as protein kinase C isoforms (PKCδ, PKCε, and PKCη) which bind and possibly phosphorylate RIPK4 (buyseUnknownyearinvestigatingthepkcηripk4 pages 14-16, urwylerrosselet2023functionsofthe pages 6-8). In addition, caspase-mediated cleavage of the intermediate domain has been observed, generating C-terminal fragments that negatively regulate NF-κB signaling, thereby modulating the balance between survival and apoptotic processes (fransen2011exploringtherole pages 122-124). Dimerization is another critical regulator, with the formation of kinase domain dimers being required for full activation, and the ankyrin repeats have been implicated in attenuating NF-κB activation, potentially by interfering with homo-dimerization (chirieleison2016syntheticbiologyreveals pages 6-7, cuny2021ripkproteinkinase pages 2-3).</w:t>
      </w:r>
    </w:p>
    <w:p>
      <w:pPr>
        <w:numPr>
          <w:ilvl w:val="0"/>
          <w:numId w:val="1001"/>
        </w:numPr>
      </w:pPr>
      <w:r>
        <w:t xml:space="preserve">Function</w:t>
      </w:r>
      <w:r>
        <w:br/>
      </w:r>
      <w:r>
        <w:t xml:space="preserve">RIPK4 plays a pivotal role in embryonic skin development and the maintenance of adult epidermal homeostasis by promoting keratinocyte differentiation and cell adhesion (buyseUnknownyearinvestigatingthepkcηripk4 pages 14-16). Its kinase activity is instrumental in phosphorylating substrates such as PKP1, thereby supporting the proper assembly of desmosomes and cell–cell adhesion (buyseUnknownyearinvestigatingthepkcηripk4 pages 14-16). RIPK4 also participates in NF-κB signaling by directly phosphorylating components of the IKK complex and is involved in activating Wnt/β-catenin cascades through DVL2 phosphorylation, events that are critical for both epidermal barrier formation and developmental processes (huang2013phosphorylationofdishevelled pages 1-1, xu2020insightintothe pages 1-2). Furthermore, its regulation by TP63 positions RIPK4 as an essential transcriptional target in skin morphogenesis and differentiation, while aberrations in its function have been associated with developmental syndromes such as popliteal pterygium syndrome and Bartsocas-Papas syndrome (kalay2012mutationsinripk4 pages 3-4, kalay2012mutationsinripk4 pages 6-7).</w:t>
      </w:r>
    </w:p>
    <w:p>
      <w:pPr>
        <w:numPr>
          <w:ilvl w:val="0"/>
          <w:numId w:val="1001"/>
        </w:numPr>
      </w:pPr>
      <w:r>
        <w:t xml:space="preserve">Other Comments</w:t>
      </w:r>
      <w:r>
        <w:br/>
      </w:r>
      <w:r>
        <w:t xml:space="preserve">BRAF inhibitors such as vemurafenib and dabrafenib have been shown to downregulate RIPK4 expression in melanoma cells, indicating an off-target pharmacological interaction, although these drugs do not appear to modulate the canonical BRAF/MEK/ERK pathway directly through RIPK4 (madej2023vemurafenibanddabrafenib pages 22-23). Despite the recognition of RIPK4’s roles in epidermal development and tumor suppression in cutaneous squamous cell carcinoma, specific small-molecule inhibitors targeting RIPK4 are not well characterized in the current literature (misehe2024designsynthesisanda pages 44-49). Known disease mutations in RIPK4 affecting its kinase domain and ankyrin repeats have been implicated in developmental disorders, including the autosomal-recessive popliteal pterygium syndrome, which underscores its importance in proper ectodermal development (kalay2012mutationsinripk4 pages 3-4, kalay2012mutationsinripk4 pages 6-7). Moreover, the dual-specificity potential observed in chimeric studies emphasizes the context-dependent regulation of its catalytic activity, and post-translational modifications such as ubiquitination and caspase-mediated cleavage further contribute to its diverse regulatory mechanisms (chirieleison2016syntheticbiologyreveals pages 6-7, misehe2024designsynthesisandb pages 132-135).</w:t>
      </w:r>
    </w:p>
    <w:p>
      <w:pPr>
        <w:numPr>
          <w:ilvl w:val="0"/>
          <w:numId w:val="1001"/>
        </w:numPr>
      </w:pPr>
      <w:r>
        <w:t xml:space="preserve">References</w:t>
      </w:r>
      <w:r>
        <w:br/>
      </w:r>
      <w:r>
        <w:t xml:space="preserve">buyseUnknownyearinvestigatingthepkcηripk4 pages 14-16; chirieleison2016syntheticbiologyreveals pages 7-9; madej2023vemurafenibanddabrafenib pages 22-23; urwylerrosselet2023functionsofthe pages 10-11; urwylerrosselet2023functionsofthe pages 12-13; xu2020insightintothe pages 1-2; chirieleison2016syntheticbiologyreveals pages 9-11; cuny2021ripkproteinkinase pages 1-2; cuny2021ripkproteinkinase pages 3-4; cuny2021ripkproteinkinase pages 8-8; cuny2021ripkproteinkinase pages 8-9; fransen2011exploringtherole pages 122-124; huang2013phosphorylationofdishevelled pages 1-1; kalay2012mutationsinripk4 pages 3-4; kalay2012mutationsinripk4 pages 6-7; lv2022comparativeandevolutionary pages 1-3; lv2022comparativeandevolutionary pages 24-24; misehe2024designsynthesisanda pages 44-49; misehe2024designsynthesisandb pages 132-135; bryan2018kinaseinhibitorsfor pages 16-17.</w:t>
      </w:r>
    </w:p>
    <w:p>
      <w:pPr>
        <w:pStyle w:val="FirstParagraph"/>
      </w:pPr>
      <w:r>
        <w:t xml:space="preserve">References</w:t>
      </w:r>
    </w:p>
    <w:p>
      <w:pPr>
        <w:numPr>
          <w:ilvl w:val="0"/>
          <w:numId w:val="1002"/>
        </w:numPr>
      </w:pPr>
      <w:r>
        <w:t xml:space="preserve">(buyseUnknownyearinvestigatingthepkcηripk4 pages 14-16): E Buyse. Investigating the pkcη-ripk4 signalling axis in keratinocyte differentiation. Unknown journal, Unknown year.</w:t>
      </w:r>
    </w:p>
    <w:p>
      <w:pPr>
        <w:numPr>
          <w:ilvl w:val="0"/>
          <w:numId w:val="1002"/>
        </w:numPr>
      </w:pPr>
      <w:r>
        <w:t xml:space="preserve">(chirieleison2016syntheticbiologyreveals pages 7-9): SM Chirieleison. Synthetic biology reveals the uniqueness of the rip kinase domain. Unknown journal, 2016. URL: https://doi.org/10/4291/43038, doi:10/4291/43038.</w:t>
      </w:r>
    </w:p>
    <w:p>
      <w:pPr>
        <w:numPr>
          <w:ilvl w:val="0"/>
          <w:numId w:val="1002"/>
        </w:numPr>
      </w:pPr>
      <w:r>
        <w:t xml:space="preserve">(madej2023vemurafenibanddabrafenib pages 22-23): Ewelina Madej, Anna A. Brożyna, Agnieszka Adamczyk, Norbert Wronski, Agnieszka Harazin-Lechowska, Anna Muzyk, Krzysztof Makuch, Michal Markiewicz, Janusz Rys, and Agnieszka Wolnicka-Glubisz. Vemurafenib and dabrafenib downregulates ripk4 level. Cancers, 15:918, Feb 2023. URL: https://doi.org/10.3390/cancers15030918, doi:10.3390/cancers15030918. This article has 9 citations and is from a peer-reviewed journal.</w:t>
      </w:r>
    </w:p>
    <w:p>
      <w:pPr>
        <w:numPr>
          <w:ilvl w:val="0"/>
          <w:numId w:val="1002"/>
        </w:numPr>
      </w:pPr>
      <w:r>
        <w:t xml:space="preserve">(urwylerrosselet2023functionsofthe pages 10-11): Corinne Urwyler-Rösselet, Giel Tanghe, Michael Devos, Paco Hulpiau, Yvan Saeys, and Wim Declercq. Functions of the rip kinase family members in the skin. Cellular and Molecular Life Sciences, Sep 2023. URL: https://doi.org/10.1007/s00018-023-04917-2, doi:10.1007/s00018-023-04917-2. This article has 5 citations and is from a domain leading peer-reviewed journal.</w:t>
      </w:r>
    </w:p>
    <w:p>
      <w:pPr>
        <w:numPr>
          <w:ilvl w:val="0"/>
          <w:numId w:val="1002"/>
        </w:numPr>
      </w:pPr>
      <w:r>
        <w:t xml:space="preserve">(urwylerrosselet2023functionsofthe pages 12-13): Corinne Urwyler-Rösselet, Giel Tanghe, Michael Devos, Paco Hulpiau, Yvan Saeys, and Wim Declercq. Functions of the rip kinase family members in the skin. Cellular and Molecular Life Sciences, Sep 2023. URL: https://doi.org/10.1007/s00018-023-04917-2, doi:10.1007/s00018-023-04917-2. This article has 5 citations and is from a domain leading peer-reviewed journal.</w:t>
      </w:r>
    </w:p>
    <w:p>
      <w:pPr>
        <w:numPr>
          <w:ilvl w:val="0"/>
          <w:numId w:val="1002"/>
        </w:numPr>
      </w:pPr>
      <w:r>
        <w:t xml:space="preserve">(xu2020insightintothe pages 1-2): Jing Xu, Qichun Wei, and Zhixing He. Insight into the function of ripk4 in keratinocyte differentiation and carcinogenesis. Frontiers in Oncology, Aug 2020. URL: https://doi.org/10.3389/fonc.2020.01562, doi:10.3389/fonc.2020.01562. This article has 35 citations and is from a peer-reviewed journal.</w:t>
      </w:r>
    </w:p>
    <w:p>
      <w:pPr>
        <w:numPr>
          <w:ilvl w:val="0"/>
          <w:numId w:val="1002"/>
        </w:numPr>
      </w:pPr>
      <w:r>
        <w:t xml:space="preserve">(chirieleison2016syntheticbiologyreveals pages 9-11): SM Chirieleison. Synthetic biology reveals the uniqueness of the rip kinase domain. Unknown journal, 2016. URL: https://doi.org/10/4291/43038, doi:10/4291/43038.</w:t>
      </w:r>
    </w:p>
    <w:p>
      <w:pPr>
        <w:numPr>
          <w:ilvl w:val="0"/>
          <w:numId w:val="1002"/>
        </w:numPr>
      </w:pPr>
      <w:r>
        <w:t xml:space="preserve">(cuny2021ripkproteinkinase pages 1-2): Gregory D. Cuny and Alexei Degterev. Ripk protein kinase family: atypical lives of typical kinases. Seminars in Cell &amp; Developmental Biology, 109:96-105, Jan 2021. URL: https://doi.org/10.1016/j.semcdb.2020.06.014, doi:10.1016/j.semcdb.2020.06.014. This article has 85 citations.</w:t>
      </w:r>
    </w:p>
    <w:p>
      <w:pPr>
        <w:numPr>
          <w:ilvl w:val="0"/>
          <w:numId w:val="1002"/>
        </w:numPr>
      </w:pPr>
      <w:r>
        <w:t xml:space="preserve">(cuny2021ripkproteinkinase pages 3-4): Gregory D. Cuny and Alexei Degterev. Ripk protein kinase family: atypical lives of typical kinases. Seminars in Cell &amp; Developmental Biology, 109:96-105, Jan 2021. URL: https://doi.org/10.1016/j.semcdb.2020.06.014, doi:10.1016/j.semcdb.2020.06.014. This article has 85 citations.</w:t>
      </w:r>
    </w:p>
    <w:p>
      <w:pPr>
        <w:numPr>
          <w:ilvl w:val="0"/>
          <w:numId w:val="1002"/>
        </w:numPr>
      </w:pPr>
      <w:r>
        <w:t xml:space="preserve">(cuny2021ripkproteinkinase pages 8-8): Gregory D. Cuny and Alexei Degterev. Ripk protein kinase family: atypical lives of typical kinases. Seminars in Cell &amp; Developmental Biology, 109:96-105, Jan 2021. URL: https://doi.org/10.1016/j.semcdb.2020.06.014, doi:10.1016/j.semcdb.2020.06.014. This article has 85 citations.</w:t>
      </w:r>
    </w:p>
    <w:p>
      <w:pPr>
        <w:numPr>
          <w:ilvl w:val="0"/>
          <w:numId w:val="1002"/>
        </w:numPr>
      </w:pPr>
      <w:r>
        <w:t xml:space="preserve">(cuny2021ripkproteinkinase pages 8-9): Gregory D. Cuny and Alexei Degterev. Ripk protein kinase family: atypical lives of typical kinases. Seminars in Cell &amp; Developmental Biology, 109:96-105, Jan 2021. URL: https://doi.org/10.1016/j.semcdb.2020.06.014, doi:10.1016/j.semcdb.2020.06.014. This article has 85 citations.</w:t>
      </w:r>
    </w:p>
    <w:p>
      <w:pPr>
        <w:numPr>
          <w:ilvl w:val="0"/>
          <w:numId w:val="1002"/>
        </w:numPr>
      </w:pPr>
      <w:r>
        <w:t xml:space="preserve">(fransen2011exploringtherole pages 122-124): M Fransen. Exploring the role of caspases and ripk4 during xenopus development. Unknown journal, 2011.</w:t>
      </w:r>
    </w:p>
    <w:p>
      <w:pPr>
        <w:numPr>
          <w:ilvl w:val="0"/>
          <w:numId w:val="1002"/>
        </w:numPr>
      </w:pPr>
      <w:r>
        <w:t xml:space="preserve">(huang2013phosphorylationofdishevelled pages 1-1): XiaoDong Huang, James C. McGann, Bob Y. Liu, Rami N. Hannoush, Jennie R. Lill, Victoria Pham, Kim Newton, Michael Kakunda, Jinfeng Liu, Christine Yu, Sarah G. Hymowitz, Jo-Anne Hongo, Anthony Wynshaw-Boris, Paul Polakis, Richard M. Harland, and Vishva M. Dixit. Phosphorylation of dishevelled by protein kinase ripk4 regulates wnt signaling. Science, 339:1441-1445, Mar 2013. URL: https://doi.org/10.1126/science.1232253, doi:10.1126/science.1232253. This article has 130 citations and is from a highest quality peer-reviewed journal.</w:t>
      </w:r>
    </w:p>
    <w:p>
      <w:pPr>
        <w:numPr>
          <w:ilvl w:val="0"/>
          <w:numId w:val="1002"/>
        </w:numPr>
      </w:pPr>
      <w:r>
        <w:t xml:space="preserve">(kalay2012mutationsinripk4 pages 3-4): Ersan Kalay, Orhan Sezgin, Vasant Chellappa, Mehmet Mutlu, Heba Morsy, Hulya Kayserili, Elmar Kreiger, Aysegul Cansu, Bayram Toraman, Ebtesam Mohammed Abdalla, Yakup Aslan, Shiv Pillai, and Nurten A. Akarsu. Mutations in ripk4 cause the autosomal-recessive form of popliteal pterygium syndrome. American journal of human genetics, 90 1:76-85, Jan 2012. URL: https://doi.org/10.1016/j.ajhg.2011.11.014, doi:10.1016/j.ajhg.2011.11.014. This article has 121 citations and is from a highest quality peer-reviewed journal.</w:t>
      </w:r>
    </w:p>
    <w:p>
      <w:pPr>
        <w:numPr>
          <w:ilvl w:val="0"/>
          <w:numId w:val="1002"/>
        </w:numPr>
      </w:pPr>
      <w:r>
        <w:t xml:space="preserve">(kalay2012mutationsinripk4 pages 6-7): Ersan Kalay, Orhan Sezgin, Vasant Chellappa, Mehmet Mutlu, Heba Morsy, Hulya Kayserili, Elmar Kreiger, Aysegul Cansu, Bayram Toraman, Ebtesam Mohammed Abdalla, Yakup Aslan, Shiv Pillai, and Nurten A. Akarsu. Mutations in ripk4 cause the autosomal-recessive form of popliteal pterygium syndrome. American journal of human genetics, 90 1:76-85, Jan 2012. URL: https://doi.org/10.1016/j.ajhg.2011.11.014, doi:10.1016/j.ajhg.2011.11.014. This article has 121 citations and is from a highest quality peer-reviewed journal.</w:t>
      </w:r>
    </w:p>
    <w:p>
      <w:pPr>
        <w:numPr>
          <w:ilvl w:val="0"/>
          <w:numId w:val="1002"/>
        </w:numPr>
      </w:pPr>
      <w:r>
        <w:t xml:space="preserve">(lv2022comparativeandevolutionary pages 1-3):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(lv2022comparativeandevolutionary pages 24-24):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(misehe2024designsynthesisanda pages 44-49): M Misehe. Design, synthesis and evaluation of novel inhibitors of class ii pi4ks and ripk2/3 kinases. Unknown journal, 2024.</w:t>
      </w:r>
    </w:p>
    <w:p>
      <w:pPr>
        <w:numPr>
          <w:ilvl w:val="0"/>
          <w:numId w:val="1002"/>
        </w:numPr>
      </w:pPr>
      <w:r>
        <w:t xml:space="preserve">(misehe2024designsynthesisandb pages 132-135): M Misehe. Design, synthesis and evaluation of novel inhibitors of class ii pi4ks and ripk2/3 kinases. Unknown journal, 2024.</w:t>
      </w:r>
    </w:p>
    <w:p>
      <w:pPr>
        <w:numPr>
          <w:ilvl w:val="0"/>
          <w:numId w:val="1002"/>
        </w:numPr>
      </w:pPr>
      <w:r>
        <w:t xml:space="preserve">(urwylerrosselet2023functionsofthe pages 6-8): Corinne Urwyler-Rösselet, Giel Tanghe, Michael Devos, Paco Hulpiau, Yvan Saeys, and Wim Declercq. Functions of the rip kinase family members in the skin. Cellular and Molecular Life Sciences, Sep 2023. URL: https://doi.org/10.1007/s00018-023-04917-2, doi:10.1007/s00018-023-04917-2. This article has 5 citations and is from a domain leading peer-reviewed journal.</w:t>
      </w:r>
    </w:p>
    <w:p>
      <w:pPr>
        <w:numPr>
          <w:ilvl w:val="0"/>
          <w:numId w:val="1002"/>
        </w:numPr>
      </w:pPr>
      <w:r>
        <w:t xml:space="preserve">(bryan2018kinaseinhibitorsfor pages 16-17): Marian C. Bryan and Naomi S. Rajapaksa. Kinase inhibitors for the treatment of immunological disorders: recent advances. Journal of Medicinal Chemistry, 61:9030-9058, Jun 2018. URL: https://doi.org/10.1021/acs.jmedchem.8b00667, doi:10.1021/acs.jmedchem.8b00667. This article has 65 citations and is from a highest quality peer-reviewed journal.</w:t>
      </w:r>
    </w:p>
    <w:p>
      <w:pPr>
        <w:numPr>
          <w:ilvl w:val="0"/>
          <w:numId w:val="1002"/>
        </w:numPr>
      </w:pPr>
      <w:r>
        <w:t xml:space="preserve">(chirieleison2016syntheticbiologyreveals pages 6-7): SM Chirieleison. Synthetic biology reveals the uniqueness of the rip kinase domain. Unknown journal, 2016. URL: https://doi.org/10/4291/43038, doi:10/4291/43038.</w:t>
      </w:r>
    </w:p>
    <w:p>
      <w:pPr>
        <w:numPr>
          <w:ilvl w:val="0"/>
          <w:numId w:val="1002"/>
        </w:numPr>
      </w:pPr>
      <w:r>
        <w:t xml:space="preserve">(cuny2021ripkproteinkinase pages 2-3): Gregory D. Cuny and Alexei Degterev. Ripk protein kinase family: atypical lives of typical kinases. Seminars in Cell &amp; Developmental Biology, 109:96-105, Jan 2021. URL: https://doi.org/10.1016/j.semcdb.2020.06.014, doi:10.1016/j.semcdb.2020.06.014. This article has 85 citations.</w:t>
      </w:r>
    </w:p>
    <w:p>
      <w:pPr>
        <w:numPr>
          <w:ilvl w:val="0"/>
          <w:numId w:val="1002"/>
        </w:numPr>
      </w:pPr>
      <w:r>
        <w:t xml:space="preserve">(fransen2011exploringtherole pages 137-139): M Fransen. Exploring the role of caspases and ripk4 during xenopus development. Unknown journal, 2011.</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2025-05-23T18:26:44Z</dcterms:created>
  <dcterms:modified xsi:type="dcterms:W3CDTF">2025-05-23T18:26:44Z</dcterms:modified>
</cp:coreProperties>
</file>

<file path=docProps/custom.xml><?xml version="1.0" encoding="utf-8"?>
<Properties xmlns="http://schemas.openxmlformats.org/officeDocument/2006/custom-properties" xmlns:vt="http://schemas.openxmlformats.org/officeDocument/2006/docPropsVTypes"/>
</file>