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MAPK12, commonly referred to as p38γ, is a member of the p38 mitogen‐activated protein kinase (MAPK) family, which comprises four isoforms: p38α, p38β, p38γ, and p38δ. MAPK12/p38γ shares approximately 62% amino acid identity with p38α, and its evolutionary conservation across metazoans places it within the stress‐activated protein kinase subgroup of the kinome (moralesmartinez2024p38moleculartargeting pages 2-4). Orthologs of p38γ have been identified in a diverse range of species including mammals, with a particularly enriched expression in tissues such as skeletal muscle and heart, which underscores its conserved yet specialized biological functions (escos2016p38γandp38δ pages 1-2, han2020anoverviewof pages 3-5). Phylogenetic analyses based on the core kinase domain indicate that p38γ clusters with p38δ as alternative p38 isoforms that differ from the ubiquitously expressed p38α and p38β; this grouping is consistent with its unique regulatory and substrate interaction features that have diverged from more canonical MAPK family members (moralesmartinez2024p38mapkmolecular pages 2-4, han2020anoverviewof pages 1-3).</w:t>
      </w:r>
    </w:p>
    <w:p>
      <w:pPr>
        <w:numPr>
          <w:ilvl w:val="0"/>
          <w:numId w:val="1001"/>
        </w:numPr>
      </w:pPr>
      <w:r>
        <w:t xml:space="preserve">Reaction Catalyzed</w:t>
      </w:r>
      <w:r>
        <w:br/>
      </w:r>
      <w:r>
        <w:t xml:space="preserve">MAPK12 catalyzes the transfer of a phosphate group from ATP to protein substrates. The canonical chemical reaction is represented as: ATP + [protein]-(L-serine or L-threonine) → ADP + [protein]-(L-serine/threonine)-phosphate + H⁺. This serine/threonine phosphorylation reaction underlies its role as an essential mediator of intracellular signal transduction (moralesmartinez2024p38moleculartargeting pages 1-2, han2020anoverviewof pages 1-3).</w:t>
      </w:r>
    </w:p>
    <w:p>
      <w:pPr>
        <w:numPr>
          <w:ilvl w:val="0"/>
          <w:numId w:val="1001"/>
        </w:numPr>
      </w:pPr>
      <w:r>
        <w:t xml:space="preserve">Cofactor Requirements</w:t>
      </w:r>
      <w:r>
        <w:br/>
      </w:r>
      <w:r>
        <w:t xml:space="preserve">The catalytic activity of MAPK12 is dependent on ATP as the phosphate donor and requires divalent cations, most notably Mg²⁺, to facilitate the phosphorylation reaction. Such cofactor dependency is characteristic of serine/threonine kinases and supports proper positioning of ATP within the catalytic cleft during the phosphoryl transfer (gold2010aptamerbasedmultiplexedproteomic pages 64-65).</w:t>
      </w:r>
    </w:p>
    <w:p>
      <w:pPr>
        <w:numPr>
          <w:ilvl w:val="0"/>
          <w:numId w:val="1001"/>
        </w:numPr>
      </w:pPr>
      <w:r>
        <w:t xml:space="preserve">Substrate Specificity</w:t>
      </w:r>
      <w:r>
        <w:br/>
      </w:r>
      <w:r>
        <w:t xml:space="preserve">MAPK12/p38γ exhibits substrate specificity that aligns with the general consensus of MAPK family substrate motifs. The kinase preferentially phosphorylates serine or threonine residues that are immediately followed by a proline; that is, it targets [S/T]P motifs. In addition to this minimal consensus, substrate recognition may be further influenced by the presence of adjacent basic or acidic residues and by docking motifs within the substrate proteins, which mediate high-affinity interactions with the kinase’s docking groove (prat2018molecularbasisof pages 24-25, han2020anoverviewof pages 1-3). Importantly, p38γ also possesses a unique short C-terminal PDZ-binding motif that directs its interaction with PDZ domain-containing proteins, thereby extending its substrate repertoire to include specific scaffold proteins such as DLG1 and others involved in cytoskeletal organization (escos2016p38γandp38δ pages 1-2, qi2023p38γmapkinflammatory pages 3-5).</w:t>
      </w:r>
    </w:p>
    <w:p>
      <w:pPr>
        <w:numPr>
          <w:ilvl w:val="0"/>
          <w:numId w:val="1001"/>
        </w:numPr>
      </w:pPr>
      <w:r>
        <w:t xml:space="preserve">Structure</w:t>
      </w:r>
      <w:r>
        <w:br/>
      </w:r>
      <w:r>
        <w:t xml:space="preserve">MAPK12/p38γ is organized around a conserved central kinase domain that spans approximately residues 27 to 311. This domain encompasses the ATP-binding sites, identified in the region of residues 33–41 and near residue 56, and includes a key catalytic residue at position 153. A defining structural element of this kinase is the dual phosphorylation TXY motif (threonine–glycine–tyrosine) located between residues 183 and 185; phosphorylation of these residues is essential for transitioning the kinase from an inactive to an active state (moralesmartinez2024p38mapkmolecular pages 4-6, moralesmartinez2024p38moleculartargeting pages 1-2). Structural studies using X-ray crystallography and NMR spectroscopy have revealed that p38γ exists in multiple conformational states. In the inactive apo form, distinct open and compact conformations have been characterized, with the compact state displaying reorientation of the αC helix and a stabilizing Lys56/Glu74 salt bridge reminiscent of the active state, although full catalytic activity is achieved only upon phosphorylation. The dynamic equilibrium between the open inactive and the compact active-like states is mediated by conformational changes in key elements such as the DFG loop and the activation loop, as well as subtle repositioning of residues such as Met112 in the hinge region, which collectively modulate ATP binding affinity and accessibility of the substrate-binding site (aoto2019adynamicswitch pages 32-37, aoto2019adynamicswitch pages 11-16). In addition, p38γ harbors a C-terminal PDZ-binding motif that facilitates selective interactions with scaffolding proteins harboring PDZ domains, representing a unique structural feature that distinguishes it from other MAPK isoforms (escos2016p38γandp38δ pages 1-2).</w:t>
      </w:r>
    </w:p>
    <w:p>
      <w:pPr>
        <w:numPr>
          <w:ilvl w:val="0"/>
          <w:numId w:val="1001"/>
        </w:numPr>
      </w:pPr>
      <w:r>
        <w:t xml:space="preserve">Regulation</w:t>
      </w:r>
      <w:r>
        <w:br/>
      </w:r>
      <w:r>
        <w:t xml:space="preserve">The regulatory mechanisms governing MAPK12 involve multiple layers of control. Primary activation occurs via dual phosphorylation of the TXY motif by upstream MAP kinase kinases (MKKs), predominantly MKK3 and MKK6, which induce a conformational shift from an inactive to an active kinase state (moralesmartinez2024p38mapkmolecular pages 1-2, aoto2019adynamicswitch pages 6-11). Additional post-translational modifications, including ubiquitination, contribute to the regulation of p38γ stability and degradation, while acetylation within the ATP-binding pocket has also been implicated in modulating its enzymatic activity. Structural dynamics, characterized by NMR relaxation dispersion experiments, underscore the intrinsic flexibility of the activation and DFG loops, which play crucial roles in the allosteric regulation of kinase activity (aoto2019adynamicswitch pages 21-26, aoto2019adynamicswitch pages 42-46). Furthermore, the unique PDZ-binding motif of p38γ mediates its association with specific scaffolds and regulatory proteins, thereby influencing substrate interactions and downstream signaling without necessarily altering its catalytic activity. This regulation through PDZ-dependent binding is particularly relevant in the context of osmotic shock, where nuclear relocalization of p38γ and increased association with nuclear DLG1 leads to modulation of protein complexes involved in mRNA processing and gene transcription (qi2023p38γmapkinflammatory pages 11-12, riesgo2012newinsightsinto pages 2-4).</w:t>
      </w:r>
    </w:p>
    <w:p>
      <w:pPr>
        <w:numPr>
          <w:ilvl w:val="0"/>
          <w:numId w:val="1001"/>
        </w:numPr>
      </w:pPr>
      <w:r>
        <w:t xml:space="preserve">Function</w:t>
      </w:r>
      <w:r>
        <w:br/>
      </w:r>
      <w:r>
        <w:t xml:space="preserve">MAPK12 functions as a serine/threonine kinase within the p38 MAPK signaling cascade and plays a critical role in the cellular response to stress stimuli, including pro-inflammatory cytokines, UV radiation, and osmotic shock. By phosphorylating a diverse array of substrates—estimated to number between 200 and 300—the kinase modulates pathways related to cell proliferation, differentiation, apoptosis, and metabolic regulation (moralesmartinez2024p38mapkmolecular pages 1-2, han2020anoverviewof pages 3-5). In muscle tissue, p38γ is preferentially expressed and contributes to myoblast differentiation and the expansion of transient amplifying myogenic precursor cells during muscle growth and regeneration (moralesmartinez2024p38mapkmolecular pages 2-4, moralesmartinez2024p38moleculartargeting pages 2-4). In response to external stresses, such as osmotic changes, p38γ increases its nuclear association with DLG1, thereby affecting the dissociation of nuclear complexes involved in mRNA processing and transcription (moralesmartinez2024p38mapkmolecular pages 20-22, riesgo2012newinsightsinto pages 2-4). Additionally, p38γ is implicated in the regulation of key signaling pathways such as those governing UV-induced checkpoint control and the repair of DNA damage, as well as in mediating metabolic responses such as the regulation of glucose transporter expression and basal glucose uptake in muscle cells (moralesmartinez2024p38mapkmolecular pages 1-2, qi2023p38γmapkinflammatory pages 5-7). Its role in modulating the phosphorylation state of transcription factors, such as ELK1, ATF2, and c-Jun—with p38γ exhibiting an antagonistic effect on c-Jun phosphorylation compared to p38α—further exemplifies its importance in determining the cellular outcome following stress signal transduction (moralesmartinez2024p38mapkmolecular pages 20-22, han2020anoverviewof pages 3-5). MAPK12 also participates in proper mitotic progression by ensuring the correct kinetochore localization of PLK1, thereby preventing chromosomal instability and supporting mitotic cell viability (moralesmartinez2024p38mapkmolecular pages 2-4).</w:t>
      </w:r>
    </w:p>
    <w:p>
      <w:pPr>
        <w:numPr>
          <w:ilvl w:val="0"/>
          <w:numId w:val="1001"/>
        </w:numPr>
      </w:pPr>
      <w:r>
        <w:t xml:space="preserve">Other Comments</w:t>
      </w:r>
      <w:r>
        <w:br/>
      </w:r>
      <w:r>
        <w:t xml:space="preserve">Among the various chemical inhibitors developed to target the p38 MAPK family, many show selective activity against p38α and p38β isoforms; for instance, SB203580 is known to inhibit these isoforms but has little to no effect on p38γ and p38δ (wei2020effectofacupuncture pages 4-6, williams2017emergingrolesof pages 18-22). Several inhibitor compounds such as VX-745, SCIO-469, and nucleoside analogs like 8-NH₂-Ado have been evaluated in preclinical studies, although specific inhibitors that directly and selectively target MAPK12/p38γ remain limited (moralesmartinez2024p38moleculartargeting pages 8-10, machado2021thep38mapk pages 1-2). In addition to small-molecule inhibitors, bioinformatic analysis using TargetScan has identified conserved microRNA binding sites for hsa-miR-125a-5p, hsa-miR-125b-5p, and hsa-miR-4319 in the MAPK12 gene, suggesting a regulatory layer via miRNAs that influences its expression and activity in tumorigenic contexts (moralesmartinez2024p38moleculartargeting pages 8-10). The involvement of MAPK12 in various disease processes is underscored by its role in mediating cellular stress responses, its altered expression profiles in several cancers—including breast cancer, lung adenocarcinoma, and glioblastoma—and its contributory effects on chemoresistance in multiple myeloma (moralesmartinez2024p38mapkmolecular pages 20-22, moralesmartinez2024p38moleculartargeting pages 14-16). No notable disease mutations specific to MAPK12 have been detailed in the available context; however, its participation in checkpoint signaling and downstream transcriptional regulation indicates that dysregulation of p38γ can have significant cellular consequences.</w:t>
      </w:r>
    </w:p>
    <w:p>
      <w:pPr>
        <w:numPr>
          <w:ilvl w:val="0"/>
          <w:numId w:val="1001"/>
        </w:numPr>
      </w:pPr>
      <w:r>
        <w:t xml:space="preserve">References</w:t>
      </w:r>
      <w:r>
        <w:br/>
      </w:r>
    </w:p>
    <w:p>
      <w:pPr>
        <w:numPr>
          <w:ilvl w:val="0"/>
          <w:numId w:val="1001"/>
        </w:numPr>
      </w:pPr>
      <w:r>
        <w:t xml:space="preserve">moralesmartinez2024p38moleculartargeting pages 2-4</w:t>
      </w:r>
      <w:r>
        <w:br/>
      </w:r>
    </w:p>
    <w:p>
      <w:pPr>
        <w:numPr>
          <w:ilvl w:val="0"/>
          <w:numId w:val="1001"/>
        </w:numPr>
      </w:pPr>
      <w:r>
        <w:t xml:space="preserve">escos2016p38γandp38δ pages 1-2</w:t>
      </w:r>
      <w:r>
        <w:br/>
      </w:r>
    </w:p>
    <w:p>
      <w:pPr>
        <w:numPr>
          <w:ilvl w:val="0"/>
          <w:numId w:val="1001"/>
        </w:numPr>
      </w:pPr>
      <w:r>
        <w:t xml:space="preserve">han2020anoverviewof pages 1-3</w:t>
      </w:r>
      <w:r>
        <w:br/>
      </w:r>
    </w:p>
    <w:p>
      <w:pPr>
        <w:numPr>
          <w:ilvl w:val="0"/>
          <w:numId w:val="1001"/>
        </w:numPr>
      </w:pPr>
      <w:r>
        <w:t xml:space="preserve">moralesmartinez2024p38mapkmolecular pages 4-6</w:t>
      </w:r>
      <w:r>
        <w:br/>
      </w:r>
    </w:p>
    <w:p>
      <w:pPr>
        <w:numPr>
          <w:ilvl w:val="0"/>
          <w:numId w:val="1001"/>
        </w:numPr>
      </w:pPr>
      <w:r>
        <w:t xml:space="preserve">aoto2019adynamicswitch pages 11-16</w:t>
      </w:r>
      <w:r>
        <w:br/>
      </w:r>
    </w:p>
    <w:p>
      <w:pPr>
        <w:numPr>
          <w:ilvl w:val="0"/>
          <w:numId w:val="1001"/>
        </w:numPr>
      </w:pPr>
      <w:r>
        <w:t xml:space="preserve">aoto2019adynamicswitch pages 21-26</w:t>
      </w:r>
      <w:r>
        <w:br/>
      </w:r>
    </w:p>
    <w:p>
      <w:pPr>
        <w:numPr>
          <w:ilvl w:val="0"/>
          <w:numId w:val="1001"/>
        </w:numPr>
      </w:pPr>
      <w:r>
        <w:t xml:space="preserve">aoto2019adynamicswitch pages 32-37</w:t>
      </w:r>
      <w:r>
        <w:br/>
      </w:r>
    </w:p>
    <w:p>
      <w:pPr>
        <w:numPr>
          <w:ilvl w:val="0"/>
          <w:numId w:val="1001"/>
        </w:numPr>
      </w:pPr>
      <w:r>
        <w:t xml:space="preserve">aoto2019adynamicswitch pages 42-46</w:t>
      </w:r>
      <w:r>
        <w:br/>
      </w:r>
    </w:p>
    <w:p>
      <w:pPr>
        <w:numPr>
          <w:ilvl w:val="0"/>
          <w:numId w:val="1001"/>
        </w:numPr>
      </w:pPr>
      <w:r>
        <w:t xml:space="preserve">prat2018molecularbasisof pages 24-25</w:t>
      </w:r>
      <w:r>
        <w:br/>
      </w:r>
    </w:p>
    <w:p>
      <w:pPr>
        <w:numPr>
          <w:ilvl w:val="0"/>
          <w:numId w:val="1001"/>
        </w:numPr>
      </w:pPr>
      <w:r>
        <w:t xml:space="preserve">qi2023p38γmapkinflammatory pages 3-5</w:t>
      </w:r>
      <w:r>
        <w:br/>
      </w:r>
    </w:p>
    <w:p>
      <w:pPr>
        <w:numPr>
          <w:ilvl w:val="0"/>
          <w:numId w:val="1001"/>
        </w:numPr>
      </w:pPr>
      <w:r>
        <w:t xml:space="preserve">qi2023p38γmapkinflammatory pages 5-7</w:t>
      </w:r>
      <w:r>
        <w:br/>
      </w:r>
    </w:p>
    <w:p>
      <w:pPr>
        <w:numPr>
          <w:ilvl w:val="0"/>
          <w:numId w:val="1001"/>
        </w:numPr>
      </w:pPr>
      <w:r>
        <w:t xml:space="preserve">riesgo2012newinsightsinto pages 2-4</w:t>
      </w:r>
      <w:r>
        <w:br/>
      </w:r>
    </w:p>
    <w:p>
      <w:pPr>
        <w:numPr>
          <w:ilvl w:val="0"/>
          <w:numId w:val="1001"/>
        </w:numPr>
      </w:pPr>
      <w:r>
        <w:t xml:space="preserve">gold2010aptamerbasedmultiplexedproteomic pages 64-65</w:t>
      </w:r>
      <w:r>
        <w:br/>
      </w:r>
    </w:p>
    <w:p>
      <w:pPr>
        <w:numPr>
          <w:ilvl w:val="0"/>
          <w:numId w:val="1001"/>
        </w:numPr>
      </w:pPr>
      <w:r>
        <w:t xml:space="preserve">wei2020effectofacupuncture pages 4-6</w:t>
      </w:r>
      <w:r>
        <w:br/>
      </w:r>
    </w:p>
    <w:p>
      <w:pPr>
        <w:numPr>
          <w:ilvl w:val="0"/>
          <w:numId w:val="1001"/>
        </w:numPr>
      </w:pPr>
      <w:r>
        <w:t xml:space="preserve">williams2017emergingrolesof pages 18-22</w:t>
      </w:r>
      <w:r>
        <w:br/>
      </w:r>
    </w:p>
    <w:p>
      <w:pPr>
        <w:numPr>
          <w:ilvl w:val="0"/>
          <w:numId w:val="1001"/>
        </w:numPr>
      </w:pPr>
      <w:r>
        <w:t xml:space="preserve">machado2021thep38mapk pages 1-2</w:t>
      </w:r>
      <w:r>
        <w:br/>
      </w:r>
    </w:p>
    <w:p>
      <w:pPr>
        <w:numPr>
          <w:ilvl w:val="0"/>
          <w:numId w:val="1001"/>
        </w:numPr>
      </w:pPr>
      <w:r>
        <w:t xml:space="preserve">moralesmartinez2024p38moleculartargeting pages 8-10</w:t>
      </w:r>
      <w:r>
        <w:br/>
      </w:r>
    </w:p>
    <w:p>
      <w:pPr>
        <w:numPr>
          <w:ilvl w:val="0"/>
          <w:numId w:val="1001"/>
        </w:numPr>
      </w:pPr>
      <w:r>
        <w:t xml:space="preserve">moralesmartinez2024p38mapkmolecular pages 20-22</w:t>
      </w:r>
    </w:p>
    <w:p>
      <w:pPr>
        <w:pStyle w:val="FirstParagraph"/>
      </w:pPr>
      <w:r>
        <w:t xml:space="preserve">References</w:t>
      </w:r>
    </w:p>
    <w:p>
      <w:pPr>
        <w:numPr>
          <w:ilvl w:val="0"/>
          <w:numId w:val="1002"/>
        </w:numPr>
      </w:pPr>
      <w:r>
        <w:t xml:space="preserve">(aoto2019adynamicswitch pages 6-11): Phillip C. Aoto, Robyn L. Stanfield, Ian A. Wilson, H. Jane Dyson, and Peter E. Wright. A dynamic switch in inactive p38γ leads to an excited state on the pathway to an active kinase. Biochemistry, 58:5160-5172, Dec 2019. URL: https://doi.org/10.1021/acs.biochem.9b00932, doi:10.1021/acs.biochem.9b00932. This article has 10 citations and is from a peer-reviewed journal.</w:t>
      </w:r>
    </w:p>
    <w:p>
      <w:pPr>
        <w:numPr>
          <w:ilvl w:val="0"/>
          <w:numId w:val="1002"/>
        </w:numPr>
      </w:pPr>
      <w:r>
        <w:t xml:space="preserve">(escos2016p38γandp38δ pages 1-2): Alejandra Escós, Ana Risco, Dayanira Alsina-Beauchamp, and Ana Cuenda. P38γ and p38δ mitogen activated protein kinases (mapks), new stars in the mapk galaxy. Frontiers in Cell and Developmental Biology, Apr 2016. URL: https://doi.org/10.3389/fcell.2016.00031, doi:10.3389/fcell.2016.00031. This article has 89 citations and is from a peer-reviewed journal.</w:t>
      </w:r>
    </w:p>
    <w:p>
      <w:pPr>
        <w:numPr>
          <w:ilvl w:val="0"/>
          <w:numId w:val="1002"/>
        </w:numPr>
      </w:pPr>
      <w:r>
        <w:t xml:space="preserve">(han2020anoverviewof pages 1-3): Jiahuai Han, Jianfeng Wu, and John Silke. An overview of mammalian p38 mitogen-activated protein kinases, central regulators of cell stress and receptor signaling. F1000Research, 9:653, Jun 2020. URL: https://doi.org/10.12688/f1000research.22092.1, doi:10.12688/f1000research.22092.1. This article has 138 citations and is from a peer-reviewed journal.</w:t>
      </w:r>
    </w:p>
    <w:p>
      <w:pPr>
        <w:numPr>
          <w:ilvl w:val="0"/>
          <w:numId w:val="1002"/>
        </w:numPr>
      </w:pPr>
      <w:r>
        <w:t xml:space="preserve">(han2020anoverviewof pages 3-5): Jiahuai Han, Jianfeng Wu, and John Silke. An overview of mammalian p38 mitogen-activated protein kinases, central regulators of cell stress and receptor signaling. F1000Research, 9:653, Jun 2020. URL: https://doi.org/10.12688/f1000research.22092.1, doi:10.12688/f1000research.22092.1. This article has 138 citations and is from a peer-reviewed journal.</w:t>
      </w:r>
    </w:p>
    <w:p>
      <w:pPr>
        <w:numPr>
          <w:ilvl w:val="0"/>
          <w:numId w:val="1002"/>
        </w:numPr>
      </w:pPr>
      <w:r>
        <w:t xml:space="preserve">(moralesmartinez2024p38mapkmolecular pages 2-4): Mario Morales-Martinez and Mario I Vega. P38 mapk molecular targeting for next-generation multiple myeloma therapy. Cancers, Jan 2024. URL: https://doi.org/10.20944/preprints202401.0262.v1, doi:10.20944/preprints202401.0262.v1. This article has 2 citations and is from a peer-reviewed journal.</w:t>
      </w:r>
    </w:p>
    <w:p>
      <w:pPr>
        <w:numPr>
          <w:ilvl w:val="0"/>
          <w:numId w:val="1002"/>
        </w:numPr>
      </w:pPr>
      <w:r>
        <w:t xml:space="preserve">(moralesmartinez2024p38mapkmolecular pages 20-22): Mario Morales-Martinez and Mario I Vega. P38 mapk molecular targeting for next-generation multiple myeloma therapy. Cancers, Jan 2024. URL: https://doi.org/10.20944/preprints202401.0262.v1, doi:10.20944/preprints202401.0262.v1. This article has 2 citations and is from a peer-reviewed journal.</w:t>
      </w:r>
    </w:p>
    <w:p>
      <w:pPr>
        <w:numPr>
          <w:ilvl w:val="0"/>
          <w:numId w:val="1002"/>
        </w:numPr>
      </w:pPr>
      <w:r>
        <w:t xml:space="preserve">(moralesmartinez2024p38mapkmolecular pages 4-6): Mario Morales-Martinez and Mario I Vega. P38 mapk molecular targeting for next-generation multiple myeloma therapy. Cancers, Jan 2024. URL: https://doi.org/10.20944/preprints202401.0262.v1, doi:10.20944/preprints202401.0262.v1. This article has 2 citations and is from a peer-reviewed journal.</w:t>
      </w:r>
    </w:p>
    <w:p>
      <w:pPr>
        <w:numPr>
          <w:ilvl w:val="0"/>
          <w:numId w:val="1002"/>
        </w:numPr>
      </w:pPr>
      <w:r>
        <w:t xml:space="preserve">(moralesmartinez2024p38moleculartargeting pages 1-2): Mario Morales-Martínez and Mario I. Vega. P38 molecular targeting for next-generation multiple myeloma therapy. Cancers, 16:256, Jan 2024. URL: https://doi.org/10.3390/cancers16020256, doi:10.3390/cancers16020256. This article has 3 citations and is from a peer-reviewed journal.</w:t>
      </w:r>
    </w:p>
    <w:p>
      <w:pPr>
        <w:numPr>
          <w:ilvl w:val="0"/>
          <w:numId w:val="1002"/>
        </w:numPr>
      </w:pPr>
      <w:r>
        <w:t xml:space="preserve">(prat2018molecularbasisof pages 24-25): N Gutierrez Prat. Molecular basis of p38a mapk signaling. Unknown journal, 2018.</w:t>
      </w:r>
    </w:p>
    <w:p>
      <w:pPr>
        <w:numPr>
          <w:ilvl w:val="0"/>
          <w:numId w:val="1002"/>
        </w:numPr>
      </w:pPr>
      <w:r>
        <w:t xml:space="preserve">(qi2023p38γmapkinflammatory pages 11-12): Xiao-Mei Qi and Guan Chen. P38γ mapk inflammatory and metabolic signaling in physiology and disease. Cells, 12:1674, Jun 2023. URL: https://doi.org/10.3390/cells12131674, doi:10.3390/cells12131674. This article has 10 citations and is from a peer-reviewed journal.</w:t>
      </w:r>
    </w:p>
    <w:p>
      <w:pPr>
        <w:numPr>
          <w:ilvl w:val="0"/>
          <w:numId w:val="1002"/>
        </w:numPr>
      </w:pPr>
      <w:r>
        <w:t xml:space="preserve">(qi2023p38γmapkinflammatory pages 3-5): Xiao-Mei Qi and Guan Chen. P38γ mapk inflammatory and metabolic signaling in physiology and disease. Cells, 12:1674, Jun 2023. URL: https://doi.org/10.3390/cells12131674, doi:10.3390/cells12131674. This article has 10 citations and is from a peer-reviewed journal.</w:t>
      </w:r>
    </w:p>
    <w:p>
      <w:pPr>
        <w:numPr>
          <w:ilvl w:val="0"/>
          <w:numId w:val="1002"/>
        </w:numPr>
      </w:pPr>
      <w:r>
        <w:t xml:space="preserve">(qi2023p38γmapkinflammatory pages 5-7): Xiao-Mei Qi and Guan Chen. P38γ mapk inflammatory and metabolic signaling in physiology and disease. Cells, 12:1674, Jun 2023. URL: https://doi.org/10.3390/cells12131674, doi:10.3390/cells12131674. This article has 10 citations and is from a peer-reviewed journal.</w:t>
      </w:r>
    </w:p>
    <w:p>
      <w:pPr>
        <w:numPr>
          <w:ilvl w:val="0"/>
          <w:numId w:val="1002"/>
        </w:numPr>
      </w:pPr>
      <w:r>
        <w:t xml:space="preserve">(wei2020effectofacupuncture pages 4-6): Tzu-Hsuan Wei and Ching-Liang Hsieh. Effect of acupuncture on the p38 signaling pathway in several nervous system diseases: a systematic review. International Journal of Molecular Sciences, 21:4693, Jun 2020. URL: https://doi.org/10.3390/ijms21134693, doi:10.3390/ijms21134693. This article has 50 citations and is from a peer-reviewed journal.</w:t>
      </w:r>
    </w:p>
    <w:p>
      <w:pPr>
        <w:numPr>
          <w:ilvl w:val="0"/>
          <w:numId w:val="1002"/>
        </w:numPr>
      </w:pPr>
      <w:r>
        <w:t xml:space="preserve">(williams2017emergingrolesof pages 18-22): Patrick Allen Williams, Michael Bouchard, and Todd Strochlic. Emerging Roles of the Protein Kinase MK2 in Spermatogenesis. PhD thesis, Drexel University Libraries, 2017. URL: https://doi.org/10.17918/etd-7528, doi:10.17918/etd-7528.</w:t>
      </w:r>
    </w:p>
    <w:p>
      <w:pPr>
        <w:numPr>
          <w:ilvl w:val="0"/>
          <w:numId w:val="1002"/>
        </w:numPr>
      </w:pPr>
      <w:r>
        <w:t xml:space="preserve">(aoto2019adynamicswitch pages 11-16): Phillip C. Aoto, Robyn L. Stanfield, Ian A. Wilson, H. Jane Dyson, and Peter E. Wright. A dynamic switch in inactive p38γ leads to an excited state on the pathway to an active kinase. Biochemistry, 58:5160-5172, Dec 2019. URL: https://doi.org/10.1021/acs.biochem.9b00932, doi:10.1021/acs.biochem.9b00932. This article has 10 citations and is from a peer-reviewed journal.</w:t>
      </w:r>
    </w:p>
    <w:p>
      <w:pPr>
        <w:numPr>
          <w:ilvl w:val="0"/>
          <w:numId w:val="1002"/>
        </w:numPr>
      </w:pPr>
      <w:r>
        <w:t xml:space="preserve">(aoto2019adynamicswitch pages 21-26): Phillip C. Aoto, Robyn L. Stanfield, Ian A. Wilson, H. Jane Dyson, and Peter E. Wright. A dynamic switch in inactive p38γ leads to an excited state on the pathway to an active kinase. Biochemistry, 58:5160-5172, Dec 2019. URL: https://doi.org/10.1021/acs.biochem.9b00932, doi:10.1021/acs.biochem.9b00932. This article has 10 citations and is from a peer-reviewed journal.</w:t>
      </w:r>
    </w:p>
    <w:p>
      <w:pPr>
        <w:numPr>
          <w:ilvl w:val="0"/>
          <w:numId w:val="1002"/>
        </w:numPr>
      </w:pPr>
      <w:r>
        <w:t xml:space="preserve">(aoto2019adynamicswitch pages 32-37): Phillip C. Aoto, Robyn L. Stanfield, Ian A. Wilson, H. Jane Dyson, and Peter E. Wright. A dynamic switch in inactive p38γ leads to an excited state on the pathway to an active kinase. Biochemistry, 58:5160-5172, Dec 2019. URL: https://doi.org/10.1021/acs.biochem.9b00932, doi:10.1021/acs.biochem.9b00932. This article has 10 citations and is from a peer-reviewed journal.</w:t>
      </w:r>
    </w:p>
    <w:p>
      <w:pPr>
        <w:numPr>
          <w:ilvl w:val="0"/>
          <w:numId w:val="1002"/>
        </w:numPr>
      </w:pPr>
      <w:r>
        <w:t xml:space="preserve">(aoto2019adynamicswitch pages 42-46): Phillip C. Aoto, Robyn L. Stanfield, Ian A. Wilson, H. Jane Dyson, and Peter E. Wright. A dynamic switch in inactive p38γ leads to an excited state on the pathway to an active kinase. Biochemistry, 58:5160-5172, Dec 2019. URL: https://doi.org/10.1021/acs.biochem.9b00932, doi:10.1021/acs.biochem.9b00932. This article has 10 citations and is from a peer-reviewed journal.</w:t>
      </w:r>
    </w:p>
    <w:p>
      <w:pPr>
        <w:numPr>
          <w:ilvl w:val="0"/>
          <w:numId w:val="1002"/>
        </w:numPr>
      </w:pPr>
      <w:r>
        <w:t xml:space="preserve">(gold2010aptamerbasedmultiplexedproteomic pages 64-65): Larry Gold, Deborah Ayers, Jennifer Bertino, Christopher Bock, Ashley Bock, Edward Brody, Jeff Carter, Virginia Cunningham, Andrew Dalby, Bruce Eaton, Tim Fitzwater, Dylan Flather, Ashley Forbes, Trudi Foreman, Cate Fowler, Bharat Gawande, Meredith Goss, Magda Gunn, Shashi Gupta, Dennis Halladay, Jim Heil, Joe Heilig, Brian Hicke, Gregory Husar, Nebojsa Janjic, Thale Jarvis, Susan Jennings, Evaldas Katilius, Tracy Keeney, Nancy Kim, Terese Kaske, Tad Koch, Stephan Kraemer, Luke Kroiss, Ngan Le, Daniel Levine, Wes Lindsey, Bridget Lollo, Wes Mayfield, Mike Mehan, Robert Mehler, Michele Nelson, Sally Nelson, Dan Nieuwlandt, Malti Nikrad, Urs Ochsner, Rachel Ostroff, Matt Otis, Thomas Parker, Steve Pietrasiewicz, Dan Resnicow, John Rohloff, Glenn Sanders, Sarah Sattin, Dan Schneider, Britta Singer, Martin Stanton, Alana Sterkel, Alex Stewart, Suzanne Stratford, Jonathan Vaught, Mike Vrkljan, Jeffrey Walker, Mike Watrobka, Sheela Waugh, Allison Weiss, Sheri Wilcox, Alexey Wolfson, Steve Wolk, Chi Zhang, and Dom Zichi. Aptamer-based multiplexed proteomic technology for biomarker discovery. Nature Precedings, pages 1-1, Jun 2010. URL: https://doi.org/10.1038/npre.2010.4538.1, doi:10.1038/npre.2010.4538.1. This article has 1822 citations.</w:t>
      </w:r>
    </w:p>
    <w:p>
      <w:pPr>
        <w:numPr>
          <w:ilvl w:val="0"/>
          <w:numId w:val="1002"/>
        </w:numPr>
      </w:pPr>
      <w:r>
        <w:t xml:space="preserve">(machado2021thep38mapk pages 1-2): Thamires R. Machado, Thayná R. Machado, and Pedro G. Pascutti. The p38 mapk inhibitors and their role in inflammatory diseases. Unknown journal, 6:5729-5742, Jun 2021. URL: https://doi.org/10.1002/slct.202100406, doi:10.1002/slct.202100406. This article has 31 citations.</w:t>
      </w:r>
    </w:p>
    <w:p>
      <w:pPr>
        <w:numPr>
          <w:ilvl w:val="0"/>
          <w:numId w:val="1002"/>
        </w:numPr>
      </w:pPr>
      <w:r>
        <w:t xml:space="preserve">(moralesmartinez2024p38mapkmolecular pages 1-2): Mario Morales-Martinez and Mario I Vega. P38 mapk molecular targeting for next-generation multiple myeloma therapy. Cancers, Jan 2024. URL: https://doi.org/10.20944/preprints202401.0262.v1, doi:10.20944/preprints202401.0262.v1. This article has 2 citations and is from a peer-reviewed journal.</w:t>
      </w:r>
    </w:p>
    <w:p>
      <w:pPr>
        <w:numPr>
          <w:ilvl w:val="0"/>
          <w:numId w:val="1002"/>
        </w:numPr>
      </w:pPr>
      <w:r>
        <w:t xml:space="preserve">(moralesmartinez2024p38moleculartargeting pages 14-16): Mario Morales-Martínez and Mario I. Vega. P38 molecular targeting for next-generation multiple myeloma therapy. Cancers, 16:256, Jan 2024. URL: https://doi.org/10.3390/cancers16020256, doi:10.3390/cancers16020256. This article has 3 citations and is from a peer-reviewed journal.</w:t>
      </w:r>
    </w:p>
    <w:p>
      <w:pPr>
        <w:numPr>
          <w:ilvl w:val="0"/>
          <w:numId w:val="1002"/>
        </w:numPr>
      </w:pPr>
      <w:r>
        <w:t xml:space="preserve">(moralesmartinez2024p38moleculartargeting pages 2-4): Mario Morales-Martínez and Mario I. Vega. P38 molecular targeting for next-generation multiple myeloma therapy. Cancers, 16:256, Jan 2024. URL: https://doi.org/10.3390/cancers16020256, doi:10.3390/cancers16020256. This article has 3 citations and is from a peer-reviewed journal.</w:t>
      </w:r>
    </w:p>
    <w:p>
      <w:pPr>
        <w:numPr>
          <w:ilvl w:val="0"/>
          <w:numId w:val="1002"/>
        </w:numPr>
      </w:pPr>
      <w:r>
        <w:t xml:space="preserve">(moralesmartinez2024p38moleculartargeting pages 8-10): Mario Morales-Martínez and Mario I. Vega. P38 molecular targeting for next-generation multiple myeloma therapy. Cancers, 16:256, Jan 2024. URL: https://doi.org/10.3390/cancers16020256, doi:10.3390/cancers16020256. This article has 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2025-05-23T18:26:54Z</dcterms:created>
  <dcterms:modified xsi:type="dcterms:W3CDTF">2025-05-23T18:26:54Z</dcterms:modified>
</cp:coreProperties>
</file>

<file path=docProps/custom.xml><?xml version="1.0" encoding="utf-8"?>
<Properties xmlns="http://schemas.openxmlformats.org/officeDocument/2006/custom-properties" xmlns:vt="http://schemas.openxmlformats.org/officeDocument/2006/docPropsVTypes"/>
</file>