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MAPK9, also known as JNK2, is a member of the c‐Jun N‐terminal kinase (JNK) subgroup within the mitogen‐activated protein kinase (MAPK) superfamily. JNK2 is evolutionarily conserved across vertebrates and is one of three JNK isoforms (JNK1, JNK2, and JNK3); with JNK1 and JNK2 being ubiquitously expressed and JNK3 largely restricted to the brain, heart, and testis. Phylogenetic studies indicate that the JNK family belongs to a group of stress‐activated protein kinases that evolved by gene duplication events in the common ancestral eukaryote, and additional duplications in early vertebrate evolution led to the present diversity among isoforms. JNK2, in particular, is classified within the JNK branch alongside its paralogs and shares high sequence identity with other JNKs; however, subtle differences in regulatory and docking domains contribute to its functional differentiation within the kinome (bogoyevitch2006usesforjnk pages 6-7, krens1887molecularcellbiolog(ibl) pages 17-18, kyriakis2012mammalianmapksignal pages 2-3).</w:t>
      </w:r>
    </w:p>
    <w:p>
      <w:pPr>
        <w:numPr>
          <w:ilvl w:val="0"/>
          <w:numId w:val="1001"/>
        </w:numPr>
      </w:pPr>
      <w:r>
        <w:t xml:space="preserve">Reaction Catalyzed</w:t>
      </w:r>
      <w:r>
        <w:br/>
      </w:r>
      <w:r>
        <w:t xml:space="preserve">MAPK9 catalyzes the transfer of a phosphate group from adenosine triphosphate (ATP) to specific serine or threonine residues on substrate proteins, generating adenosine diphosphate (ADP) and a phosphorylated protein. In chemical terms, the reaction can be represented as:</w:t>
      </w:r>
      <w:r>
        <w:br/>
      </w:r>
      <w:r>
        <w:t xml:space="preserve">  ATP + [protein]-(L-serine or L-threonine) → ADP + [protein]-(L-serine/threonine)-phosphate + H⁺</w:t>
      </w:r>
      <w:r>
        <w:br/>
      </w:r>
      <w:r>
        <w:t xml:space="preserve">This phosphorylation reaction is central to modulating the function of target proteins involved in signaling cascades (bogoyevitch2006usesforjnk pages 4-6).</w:t>
      </w:r>
    </w:p>
    <w:p>
      <w:pPr>
        <w:numPr>
          <w:ilvl w:val="0"/>
          <w:numId w:val="1001"/>
        </w:numPr>
      </w:pPr>
      <w:r>
        <w:t xml:space="preserve">Cofactor Requirements</w:t>
      </w:r>
      <w:r>
        <w:br/>
      </w:r>
      <w:r>
        <w:t xml:space="preserve">Like other protein kinases, MAPK9 requires divalent metal ions as cofactors to facilitate the catalytic transfer of a phosphate group from ATP. The activity of JNK2 is most commonly dependent on Mg²⁺, which binds to ATP, thereby correctly positioning the phosphate groups for the phosphoryl transfer reaction (humanUnknownyeardatasheet(cat. pages 1-2).</w:t>
      </w:r>
    </w:p>
    <w:p>
      <w:pPr>
        <w:numPr>
          <w:ilvl w:val="0"/>
          <w:numId w:val="1001"/>
        </w:numPr>
      </w:pPr>
      <w:r>
        <w:t xml:space="preserve">Substrate Specificity</w:t>
      </w:r>
      <w:r>
        <w:br/>
      </w:r>
      <w:r>
        <w:t xml:space="preserve">MAPK9 exhibits substrate specificity that is dictated by both the local phosphorylation motif and distal docking interactions. JNK2 phosphorylates substrates chiefly at serine or threonine residues that are immediately followed by a proline residue; thus, the minimal consensus phosphorylation motif is generally represented as S/T-P. Detailed analyses of substrate peptides derived from transcription factors such as c-Jun, ATF2, and other AP-1 components consistently show that the phosphorylatable residue is embedded within a proline-directed sequence (bogoyevitch2006usesforjnk pages 9-10, bogoyevitch2006usesforjnk pages 4-6). Moreover, substrate recognition by JNK2 is enhanced by the presence of docking motifs (also referred to as D-sites or JNK-binding domains [JBDs]) found on target proteins. These docking domains typically consist of basic regions followed by hydrophobic residues (often conforming to patterns such as L-X-L or LXLXL), which engage complementary, negatively charged surfaces on the kinase. The functional consequence of this dual mode of recognition – the inherent S/T-P phosphorylation motif along with the auxiliary D-site interaction – is a heightened specificity for substrates such as members of the Jun family, ATF family transcription factors, and other regulatory proteins involved in stress response pathways (bogoyevitch2006usesforjnk pages 16-18, bardwell2015twohydrophobicresidues pages 10-11, whisenant2010computationalpredictionand pages 14-14).</w:t>
      </w:r>
    </w:p>
    <w:p>
      <w:pPr>
        <w:numPr>
          <w:ilvl w:val="0"/>
          <w:numId w:val="1001"/>
        </w:numPr>
      </w:pPr>
      <w:r>
        <w:t xml:space="preserve">Structure</w:t>
      </w:r>
      <w:r>
        <w:br/>
      </w:r>
      <w:r>
        <w:t xml:space="preserve">MAPK9 is composed of a central kinase domain that conforms to the canonical bilobal structure characteristic of the MAPK family. The N-terminal lobe consists predominantly of β-sheets and the C-terminal lobe is mainly α-helical; the ATP binding site is located in the cleft between these lobes. Critical structural features include an activation loop containing the TxY motif (typically encompassing residues 183–185 in JNK2) that must undergo dual phosphorylation for full catalytic activity. The kinase domain harbors conserved elements such as the glycine-rich loop involved in ATP binding, a catalytic loop—including the HRDLKxxN motif—and a regulatory C-helix that participates in the proper alignment of catalytic residues (bogoyevitch2006usesforjnk pages 3-4, wu2018structuralbasisfor pages 1-2). In addition, MAPK9 possesses substrate-docking grooves that interact with D-sites on target proteins. These grooves are formed by a combination of hydrophobic patches and negatively charged residues, which together facilitate binding of positively charged and hydrophobic residues in the substrate’s docking region. High-resolution X-ray crystallographic studies of related JNK isoforms have highlighted the structural basis of these interactions and the subtle differences that modulate isoform-specific substrate affinity (bogoyevitch2006usesforjnk pages 6-7, bardwell2015twohydrophobicresidues pages 7-9).</w:t>
      </w:r>
    </w:p>
    <w:p>
      <w:pPr>
        <w:numPr>
          <w:ilvl w:val="0"/>
          <w:numId w:val="1001"/>
        </w:numPr>
      </w:pPr>
      <w:r>
        <w:t xml:space="preserve">Regulation</w:t>
      </w:r>
      <w:r>
        <w:br/>
      </w:r>
      <w:r>
        <w:t xml:space="preserve">MAPK9 activity is regulated by a series of well-orchestrated phosphorylation events and protein-protein interactions. Activation of JNK2 occurs via dual phosphorylation of threonine and tyrosine residues within the TxY activation loop by upstream dual specificity kinases, primarily MAP2K4 (MKK4) and MAP2K7 (MKK7). These phosphorylation events induce a conformational change that realigns key catalytic residues within the kinase domain, transitioning MAPK9 from an inactive to an active state (bogoyevitch2006usesforjnk pages 2-3, bogoyevitch2006usesforjnk pages 26-27).</w:t>
      </w:r>
      <w:r>
        <w:br/>
      </w:r>
      <w:r>
        <w:t xml:space="preserve">Beyond activation loop phosphorylation, MAPK9 is subject to additional layers of regulation via docking interactions. Substrates and regulatory scaffold proteins – such as JNK-interacting protein 1 (JIP1) – possess specialized docking motifs that mediate binding to distinct surfaces on the kinase, thereby influencing both substrate recruitment and specificity (bogoyevitch2006usesforjnk pages 7-9, whisenant2010computationalpredictionand pages 5-7).</w:t>
      </w:r>
      <w:r>
        <w:br/>
      </w:r>
      <w:r>
        <w:t xml:space="preserve">Post-translational modifications beyond phosphorylation have been identified as modulators of JNK2 function. For instance, ubiquitylation and acetylation have been reported and are thought to impact the stability, localization, and overall signaling output of MAPK9, although precise sites and enzyme effectors are less comprehensively defined in the current context (gehi2022intrinsicdisorderin pages 18-20).</w:t>
      </w:r>
    </w:p>
    <w:p>
      <w:pPr>
        <w:numPr>
          <w:ilvl w:val="0"/>
          <w:numId w:val="1001"/>
        </w:numPr>
      </w:pPr>
      <w:r>
        <w:t xml:space="preserve">Function</w:t>
      </w:r>
      <w:r>
        <w:br/>
      </w:r>
      <w:r>
        <w:t xml:space="preserve">MAPK9 plays pivotal roles in mediating cellular responses to a variety of extracellular stress signals, including pro-inflammatory cytokines, oxidative stress, and ribotoxic insults. Upon activation by MKK4/MKK7, JNK2 phosphorylates numerous transcription factors, most notably c-Jun and ATF2, which are components of the activator protein-1 (AP-1) complex. This phosphorylation modulates gene expression to coordinate responses such as apoptosis, cell proliferation, differentiation, and migration (bogoyevitch2006usesforjnk pages 2-3, bogoyevitch2006usesforjnk pages 7-9).</w:t>
      </w:r>
      <w:r>
        <w:br/>
      </w:r>
      <w:r>
        <w:t xml:space="preserve">In addition to its role in regulating AP-1 activity, MAPK9 has been implicated in several other cellular processes. For example, under oxidative or ribotoxic stress, JNK2 phosphorylates the RNA polymerase I-specific transcription initiation factor RRN3, leading to inhibition of ribosomal RNA synthesis. It also contributes to the promotion of apoptosis by phosphorylating key regulators such as TP53 and YAP1. In T-cells, both JNK1 and JNK2 are necessary for the polarized differentiation of T-helper cells into the Th1 subset following T-cell receptor stimulation, a process mediated in part by the upstream activation cascade that includes CARMA1, BCL10, and TAK1 (bogoyevitch2006usesforjnk pages 25-26, bogoyevitch2006usesforjnk pages 7-9).</w:t>
      </w:r>
      <w:r>
        <w:br/>
      </w:r>
      <w:r>
        <w:t xml:space="preserve">MAPK9 further influences epithelial integrity, as its activation under osmotic stress conditions contributes to the disruption of epithelial tight junctions. Moreover, once activated, JNK2 can promote the degradation of beta-catenin (CTNNB1), thereby inhibiting the canonical Wnt signaling pathway. Other cellular functions attributed to MAPK9 include participation in neurite outgrowth in neuronal cells and the regulation of circadian rhythms through phosphorylation of the CLOCK-BMAL1 heterodimer. Additionally, phosphorylation of POU5F1 and ALKBH5 by JNK2 leads to alterations in the transcriptional activity and stability of these proteins, respectively, thereby modulating cellular processes in a context-dependent manner (Information section, bogoyevitch2006usesforjnk pages 2-3, bogoyevitch2006usesforjnk pages 18-19, kyriakis2012mammalianmapksignal pages 9-10, gehi2022intrinsicdisorderin pages 28-29).</w:t>
      </w:r>
    </w:p>
    <w:p>
      <w:pPr>
        <w:numPr>
          <w:ilvl w:val="0"/>
          <w:numId w:val="1001"/>
        </w:numPr>
      </w:pPr>
      <w:r>
        <w:t xml:space="preserve">Other Comments</w:t>
      </w:r>
      <w:r>
        <w:br/>
      </w:r>
      <w:r>
        <w:t xml:space="preserve">Several experimental inhibitors targeting MAPK9 have been investigated given its critical roles in stress signaling and disease processes such as cancer, diabetes, and neurodegeneration. Although specific compounds are not enumerated in the context provided, MAPK9 remains an attractive target for pharmacological intervention with the potential to modulate its activity in processes such as T-cell differentiation, apoptosis, and metabolic regulation. Disease associations linked to MAPK9 include defects in immune responses, aberrations in apoptotic signaling leading to cancer cell survival, and dysregulated circadian rhythms. The diverse roles of MAPK9 in these processes underscore its importance as a signaling node whose dysregulation may contribute to multiple pathologies (Information section, bogoyevitch2006usesforjnk pages 26-27, kyriakis2012mammalianmapksignal pages 9-10, gehi2022intrinsicdisorderin pages 28-29).</w:t>
      </w:r>
    </w:p>
    <w:p>
      <w:pPr>
        <w:numPr>
          <w:ilvl w:val="0"/>
          <w:numId w:val="1001"/>
        </w:numPr>
      </w:pPr>
      <w:r>
        <w:t xml:space="preserve">References</w:t>
      </w:r>
      <w:r>
        <w:br/>
      </w:r>
    </w:p>
    <w:p>
      <w:pPr>
        <w:numPr>
          <w:ilvl w:val="0"/>
          <w:numId w:val="1001"/>
        </w:numPr>
      </w:pPr>
      <w:r>
        <w:t xml:space="preserve">bogoyevitch2006usesforjnk pages 6-7</w:t>
      </w:r>
      <w:r>
        <w:br/>
      </w:r>
    </w:p>
    <w:p>
      <w:pPr>
        <w:numPr>
          <w:ilvl w:val="0"/>
          <w:numId w:val="1001"/>
        </w:numPr>
      </w:pPr>
      <w:r>
        <w:t xml:space="preserve">bogoyevitch2006usesforjnk pages 9-10</w:t>
      </w:r>
      <w:r>
        <w:br/>
      </w:r>
    </w:p>
    <w:p>
      <w:pPr>
        <w:numPr>
          <w:ilvl w:val="0"/>
          <w:numId w:val="1001"/>
        </w:numPr>
      </w:pPr>
      <w:r>
        <w:t xml:space="preserve">bogoyevitch2006usesforjnk pages 16-18</w:t>
      </w:r>
      <w:r>
        <w:br/>
      </w:r>
    </w:p>
    <w:p>
      <w:pPr>
        <w:numPr>
          <w:ilvl w:val="0"/>
          <w:numId w:val="1001"/>
        </w:numPr>
      </w:pPr>
      <w:r>
        <w:t xml:space="preserve">bogoyevitch2006usesforjnk pages 25-26</w:t>
      </w:r>
      <w:r>
        <w:br/>
      </w:r>
    </w:p>
    <w:p>
      <w:pPr>
        <w:numPr>
          <w:ilvl w:val="0"/>
          <w:numId w:val="1001"/>
        </w:numPr>
      </w:pPr>
      <w:r>
        <w:t xml:space="preserve">bogoyevitch2006usesforjnk pages 2-3</w:t>
      </w:r>
      <w:r>
        <w:br/>
      </w:r>
    </w:p>
    <w:p>
      <w:pPr>
        <w:numPr>
          <w:ilvl w:val="0"/>
          <w:numId w:val="1001"/>
        </w:numPr>
      </w:pPr>
      <w:r>
        <w:t xml:space="preserve">bogoyevitch2006usesforjnk pages 3-4</w:t>
      </w:r>
      <w:r>
        <w:br/>
      </w:r>
    </w:p>
    <w:p>
      <w:pPr>
        <w:numPr>
          <w:ilvl w:val="0"/>
          <w:numId w:val="1001"/>
        </w:numPr>
      </w:pPr>
      <w:r>
        <w:t xml:space="preserve">bogoyevitch2006usesforjnk pages 7-9</w:t>
      </w:r>
      <w:r>
        <w:br/>
      </w:r>
    </w:p>
    <w:p>
      <w:pPr>
        <w:numPr>
          <w:ilvl w:val="0"/>
          <w:numId w:val="1001"/>
        </w:numPr>
      </w:pPr>
      <w:r>
        <w:t xml:space="preserve">bardwell2015twohydrophobicresidues pages 10-11</w:t>
      </w:r>
      <w:r>
        <w:br/>
      </w:r>
    </w:p>
    <w:p>
      <w:pPr>
        <w:numPr>
          <w:ilvl w:val="0"/>
          <w:numId w:val="1001"/>
        </w:numPr>
      </w:pPr>
      <w:r>
        <w:t xml:space="preserve">bardwell2015twohydrophobicresidues pages 7-9</w:t>
      </w:r>
      <w:r>
        <w:br/>
      </w:r>
    </w:p>
    <w:p>
      <w:pPr>
        <w:numPr>
          <w:ilvl w:val="0"/>
          <w:numId w:val="1001"/>
        </w:numPr>
      </w:pPr>
      <w:r>
        <w:t xml:space="preserve">whisenant2010computationalpredictionand pages 14-14</w:t>
      </w:r>
      <w:r>
        <w:br/>
      </w:r>
    </w:p>
    <w:p>
      <w:pPr>
        <w:numPr>
          <w:ilvl w:val="0"/>
          <w:numId w:val="1001"/>
        </w:numPr>
      </w:pPr>
      <w:r>
        <w:t xml:space="preserve">whisenant2010computationalpredictionand pages 5-7</w:t>
      </w:r>
      <w:r>
        <w:br/>
      </w:r>
    </w:p>
    <w:p>
      <w:pPr>
        <w:numPr>
          <w:ilvl w:val="0"/>
          <w:numId w:val="1001"/>
        </w:numPr>
      </w:pPr>
      <w:r>
        <w:t xml:space="preserve">kyriakis2012mammalianmapksignal pages 2-3</w:t>
      </w:r>
      <w:r>
        <w:br/>
      </w:r>
    </w:p>
    <w:p>
      <w:pPr>
        <w:numPr>
          <w:ilvl w:val="0"/>
          <w:numId w:val="1001"/>
        </w:numPr>
      </w:pPr>
      <w:r>
        <w:t xml:space="preserve">kyriakis2012mammalianmapksignal pages 9-10</w:t>
      </w:r>
      <w:r>
        <w:br/>
      </w:r>
    </w:p>
    <w:p>
      <w:pPr>
        <w:numPr>
          <w:ilvl w:val="0"/>
          <w:numId w:val="1001"/>
        </w:numPr>
      </w:pPr>
      <w:r>
        <w:t xml:space="preserve">humanUnknownyeardatasheet(cat. pages 1-2</w:t>
      </w:r>
      <w:r>
        <w:br/>
      </w:r>
    </w:p>
    <w:p>
      <w:pPr>
        <w:numPr>
          <w:ilvl w:val="0"/>
          <w:numId w:val="1001"/>
        </w:numPr>
      </w:pPr>
      <w:r>
        <w:t xml:space="preserve">gehi2022intrinsicdisorderin pages 18-20</w:t>
      </w:r>
      <w:r>
        <w:br/>
      </w:r>
    </w:p>
    <w:p>
      <w:pPr>
        <w:numPr>
          <w:ilvl w:val="0"/>
          <w:numId w:val="1001"/>
        </w:numPr>
      </w:pPr>
      <w:r>
        <w:t xml:space="preserve">gehi2022intrinsicdisorderin pages 28-29</w:t>
      </w:r>
    </w:p>
    <w:p>
      <w:pPr>
        <w:pStyle w:val="FirstParagraph"/>
      </w:pPr>
      <w:r>
        <w:t xml:space="preserve">References</w:t>
      </w:r>
    </w:p>
    <w:p>
      <w:pPr>
        <w:numPr>
          <w:ilvl w:val="0"/>
          <w:numId w:val="1002"/>
        </w:numPr>
      </w:pPr>
      <w:r>
        <w:t xml:space="preserve">(bogoyevitch2006usesforjnk pages 16-18):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(bogoyevitch2006usesforjnk pages 25-26):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(bogoyevitch2006usesforjnk pages 6-7):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(bogoyevitch2006usesforjnk pages 9-10):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(gehi2022intrinsicdisorderin pages 18-20): Bhuvaneshwari R. Gehi, Kundlik Gadhave, Vladimir N. Uversky, and Rajanish Giri. Intrinsic disorder in proteins associated with oxidative stress-induced jnk signaling. Cellular and Molecular Life Sciences, Mar 2022. URL: https://doi.org/10.1007/s00018-022-04230-4, doi:10.1007/s00018-022-04230-4. This article has 10 citations and is from a domain leading peer-reviewed journal.</w:t>
      </w:r>
    </w:p>
    <w:p>
      <w:pPr>
        <w:numPr>
          <w:ilvl w:val="0"/>
          <w:numId w:val="1002"/>
        </w:numPr>
      </w:pPr>
      <w:r>
        <w:t xml:space="preserve">(humanUnknownyeardatasheet(cat. pages 1-2): RH Human. Data sheet (cat. no. tmpy-04550). Unknown journal, Unknown year.</w:t>
      </w:r>
    </w:p>
    <w:p>
      <w:pPr>
        <w:numPr>
          <w:ilvl w:val="0"/>
          <w:numId w:val="1002"/>
        </w:numPr>
      </w:pPr>
      <w:r>
        <w:t xml:space="preserve">(bardwell2015twohydrophobicresidues pages 10-11): A. Jane Bardwell and Lee Bardwell. Two hydrophobic residues can determine the specificity of mitogen-activated protein kinase docking interactions. Journal of Biological Chemistry, 290:26661-26674, Oct 2015. URL: https://doi.org/10.1074/jbc.m115.691436, doi:10.1074/jbc.m115.691436. This article has 33 citations and is from a domain leading peer-reviewed journal.</w:t>
      </w:r>
    </w:p>
    <w:p>
      <w:pPr>
        <w:numPr>
          <w:ilvl w:val="0"/>
          <w:numId w:val="1002"/>
        </w:numPr>
      </w:pPr>
      <w:r>
        <w:t xml:space="preserve">(bardwell2015twohydrophobicresidues pages 7-9): A. Jane Bardwell and Lee Bardwell. Two hydrophobic residues can determine the specificity of mitogen-activated protein kinase docking interactions. Journal of Biological Chemistry, 290:26661-26674, Oct 2015. URL: https://doi.org/10.1074/jbc.m115.691436, doi:10.1074/jbc.m115.691436. This article has 33 citations and is from a domain leading peer-reviewed journal.</w:t>
      </w:r>
    </w:p>
    <w:p>
      <w:pPr>
        <w:numPr>
          <w:ilvl w:val="0"/>
          <w:numId w:val="1002"/>
        </w:numPr>
      </w:pPr>
      <w:r>
        <w:t xml:space="preserve">(bogoyevitch2006usesforjnk pages 18-19):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(bogoyevitch2006usesforjnk pages 26-27):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(bogoyevitch2006usesforjnk pages 3-4):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(bogoyevitch2006usesforjnk pages 4-6):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(bogoyevitch2006usesforjnk pages 7-9):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(gehi2022intrinsicdisorderin pages 28-29): Bhuvaneshwari R. Gehi, Kundlik Gadhave, Vladimir N. Uversky, and Rajanish Giri. Intrinsic disorder in proteins associated with oxidative stress-induced jnk signaling. Cellular and Molecular Life Sciences, Mar 2022. URL: https://doi.org/10.1007/s00018-022-04230-4, doi:10.1007/s00018-022-04230-4. This article has 10 citations and is from a domain leading peer-reviewed journal.</w:t>
      </w:r>
    </w:p>
    <w:p>
      <w:pPr>
        <w:numPr>
          <w:ilvl w:val="0"/>
          <w:numId w:val="1002"/>
        </w:numPr>
      </w:pPr>
      <w:r>
        <w:t xml:space="preserve">(krens1887molecularcellbiolog(ibl) pages 17-18): SFG Krens. Molecular cell biolog,(ibl) and bioph sics,(lion), facult of science, leiden uni ersit. Unknown journal, 1887.</w:t>
      </w:r>
    </w:p>
    <w:p>
      <w:pPr>
        <w:numPr>
          <w:ilvl w:val="0"/>
          <w:numId w:val="1002"/>
        </w:numPr>
      </w:pPr>
      <w:r>
        <w:t xml:space="preserve">(kyriakis2012mammalianmapksignal pages 2-3): John M. Kyriakis and Joseph Avruch. Mammalian mapk signal transduction pathways activated by stress and inflammation: a 10-year update. Physiological Reviews, 92:689-737, Apr 2012. URL: https://doi.org/10.1152/physrev.00028.2011, doi:10.1152/physrev.00028.2011. This article has 1591 citations and is from a highest quality peer-reviewed journal.</w:t>
      </w:r>
    </w:p>
    <w:p>
      <w:pPr>
        <w:numPr>
          <w:ilvl w:val="0"/>
          <w:numId w:val="1002"/>
        </w:numPr>
      </w:pPr>
      <w:r>
        <w:t xml:space="preserve">(kyriakis2012mammalianmapksignal pages 9-10): John M. Kyriakis and Joseph Avruch. Mammalian mapk signal transduction pathways activated by stress and inflammation: a 10-year update. Physiological Reviews, 92:689-737, Apr 2012. URL: https://doi.org/10.1152/physrev.00028.2011, doi:10.1152/physrev.00028.2011. This article has 1591 citations and is from a highest quality peer-reviewed journal.</w:t>
      </w:r>
    </w:p>
    <w:p>
      <w:pPr>
        <w:numPr>
          <w:ilvl w:val="0"/>
          <w:numId w:val="1002"/>
        </w:numPr>
      </w:pPr>
      <w:r>
        <w:t xml:space="preserve">(whisenant2010computationalpredictionand pages 14-14): Thomas C. Whisenant, David T. Ho, Ryan W. Benz, Jeffrey S. Rogers, Robyn M. Kaake, Elizabeth A. Gordon, Lan Huang, Pierre Baldi, and Lee Bardwell. Computational prediction and experimental verification of new map kinase docking sites and substrates including gli transcription factors. PLoS Computational Biology, 6:e1000908, Aug 2010. URL: https://doi.org/10.1371/journal.pcbi.1000908, doi:10.1371/journal.pcbi.1000908. This article has 107 citations and is from a highest quality peer-reviewed journal.</w:t>
      </w:r>
    </w:p>
    <w:p>
      <w:pPr>
        <w:numPr>
          <w:ilvl w:val="0"/>
          <w:numId w:val="1002"/>
        </w:numPr>
      </w:pPr>
      <w:r>
        <w:t xml:space="preserve">(whisenant2010computationalpredictionand pages 5-7): Thomas C. Whisenant, David T. Ho, Ryan W. Benz, Jeffrey S. Rogers, Robyn M. Kaake, Elizabeth A. Gordon, Lan Huang, Pierre Baldi, and Lee Bardwell. Computational prediction and experimental verification of new map kinase docking sites and substrates including gli transcription factors. PLoS Computational Biology, 6:e1000908, Aug 2010. URL: https://doi.org/10.1371/journal.pcbi.1000908, doi:10.1371/journal.pcbi.1000908. This article has 107 citations and is from a highest quality peer-reviewed journal.</w:t>
      </w:r>
    </w:p>
    <w:p>
      <w:pPr>
        <w:numPr>
          <w:ilvl w:val="0"/>
          <w:numId w:val="1002"/>
        </w:numPr>
      </w:pPr>
      <w:r>
        <w:t xml:space="preserve">(wu2018structuralbasisfor pages 1-2): Yufan Wu, Annemarie Honegger, Alexander Batyuk, Peer R.E. Mittl, and Andreas Plückthun. Structural basis for the selective inhibition of c-jun n-terminal kinase 1 determined by rigid darpin–darpin fusions. Journal of Molecular Biology, 430:2128-2138, Jul 2018. URL: https://doi.org/10.1016/j.jmb.2017.10.032, doi:10.1016/j.jmb.2017.10.032. This article has 16 citations and is from a domain leading peer-reviewed journal.</w:t>
      </w:r>
    </w:p>
    <w:p>
      <w:pPr>
        <w:numPr>
          <w:ilvl w:val="0"/>
          <w:numId w:val="1002"/>
        </w:numPr>
      </w:pPr>
      <w:r>
        <w:t xml:space="preserve">(bogoyevitch2006usesforjnk pages 2-3):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2025-05-23T18:26:49Z</dcterms:created>
  <dcterms:modified xsi:type="dcterms:W3CDTF">2025-05-23T18:26:49Z</dcterms:modified>
</cp:coreProperties>
</file>

<file path=docProps/custom.xml><?xml version="1.0" encoding="utf-8"?>
<Properties xmlns="http://schemas.openxmlformats.org/officeDocument/2006/custom-properties" xmlns:vt="http://schemas.openxmlformats.org/officeDocument/2006/docPropsVTypes"/>
</file>