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Tyrosine‑protein kinase TXK (gene TXK; also known as PTK4 or RLK) is classified in the Tec family of non‑receptor tyrosine kinases, a group that plays critical roles in immune cell signaling. Orthologs of TXK are conserved among mammalian species and are part of an evolutionary lineage that arose in early vertebrates, where the regulation of T‑cell receptor (TCR)–mediated responses represents an essential function. Unlike its Tec family relatives such as interleukin‑2‑inducible kinase (Itk), Bruton’s tyrosine kinase (Btk) and bone marrow expressed kinase (Bmx), TXK is unique because it lacks an amino‑terminal pleckstrin homology (PH) domain; instead, TXK contains a short N‑terminal region that is rich in proline and cysteine residues. This distinct N‑terminal feature clearly differentiates TXK from other Tec kinases that rely on their PH domain for membrane anchoring and phospholipid interactions. Phylogenetic analyses based on the conserved SH3, SH2, and catalytic kinase (SH1) domains place TXK in a specific sub‑branch within the Tec family, which is principally involved in T‑cell receptor signaling. Functionally, TXK appears to share redundant roles with Itk, underscoring the evolutionary conservation of mechanisms regulating T‑cell activation and differentiation (bolen1997leukocyteproteintyrosine pages 6-9, mamand2018characterisinginterleukin2induciblekinase pages 32-35, mahajan1995srcfamilyprotein pages 7-8).</w:t>
      </w:r>
    </w:p>
    <w:p>
      <w:pPr>
        <w:numPr>
          <w:ilvl w:val="0"/>
          <w:numId w:val="1001"/>
        </w:numPr>
      </w:pPr>
      <w:r>
        <w:t xml:space="preserve">Reaction Catalyzed</w:t>
      </w:r>
      <w:r>
        <w:br/>
      </w:r>
      <w:r>
        <w:t xml:space="preserve">Tyrosine‑protein kinase TXK catalyzes the phosphorylation reaction in which a phosphate group is transferred from ATP to the hydroxyl group of a tyrosine residue on a specific substrate protein. The chemical reaction can be represented as:</w:t>
      </w:r>
      <w:r>
        <w:br/>
      </w:r>
      <w:r>
        <w:t xml:space="preserve">ATP + protein–L‑tyrosine → ADP + protein–L‑tyrosine‑phosphate + H⁺</w:t>
      </w:r>
      <w:r>
        <w:br/>
      </w:r>
      <w:r>
        <w:t xml:space="preserve">This reaction is fundamental to the regulation of protein activity and is typical of all protein tyrosine kinases (template).</w:t>
      </w:r>
    </w:p>
    <w:p>
      <w:pPr>
        <w:numPr>
          <w:ilvl w:val="0"/>
          <w:numId w:val="1001"/>
        </w:numPr>
      </w:pPr>
      <w:r>
        <w:t xml:space="preserve">Cofactor Requirements</w:t>
      </w:r>
      <w:r>
        <w:br/>
      </w:r>
      <w:r>
        <w:t xml:space="preserve">The catalytic activity of TXK, in common with other tyrosine kinases, is dependent on the presence of divalent metal cations. In particular, Mg²⁺ is required as a cofactor to properly orient the ATP substrate within the active site and to stabilize the transition state during phosphate transfer (template).</w:t>
      </w:r>
    </w:p>
    <w:p>
      <w:pPr>
        <w:numPr>
          <w:ilvl w:val="0"/>
          <w:numId w:val="1001"/>
        </w:numPr>
      </w:pPr>
      <w:r>
        <w:t xml:space="preserve">Substrate Specificity</w:t>
      </w:r>
      <w:r>
        <w:br/>
      </w:r>
      <w:r>
        <w:t xml:space="preserve">TXK phosphorylates several substrates that are critical components of the T‑cell activation signaling cascade. Its substrate specificity is not governed solely by the short linear sequence motifs surrounding the target tyrosine residues; rather, it is also defined by long‑range docking interactions mediated by its non‑catalytic domains. For instance, TXK can phosphorylate phospholipase C gamma 1 (PLCG1) at residues analogous to those modified by related Tec kinases, thereby promoting PLCG1’s localization to lipid rafts where it becomes activated. This activation eventually results in the cleavage of phospholipids, intracellular calcium release, and the nuclear translocation of the nuclear factor of activated T‑cells (NFAT) (min2008interleukin2tyrosinekinasesubstrate pages 35-39, min2008interleukin2tyrosinekinasesubstrate pages 73-78). In addition, TXK phosphorylates key proteins such as lymphocyte cytosolic protein 2 (LCP2) to up‑regulate interleukin‑2 (IL‑2) production, and it targets specific tyrosine residues such as Tyr‑201 in CTLA4, which leads to the association of phosphoinositide‑3‑kinase (PI‑3 kinase) with the receptor (bolen1997leukocyteproteintyrosine pages 9-11, min2008interleukin2tyrosinekinasesubstrate pages 39-44). Biochemical investigations of related Tec family kinases have demonstrated that substrate recognition often relies on docking interfaces that are independent of phosphotyrosine binding. In such cases, the substrate’s own SH2 domain may engage complementary charged surfaces on the kinase domain, thereby enhancing both specificity and catalytic efficiency (min2008interleukin2tyrosinekinasesubstrate pages 57-63).</w:t>
      </w:r>
    </w:p>
    <w:p>
      <w:pPr>
        <w:numPr>
          <w:ilvl w:val="0"/>
          <w:numId w:val="1001"/>
        </w:numPr>
      </w:pPr>
      <w:r>
        <w:t xml:space="preserve">Structure</w:t>
      </w:r>
      <w:r>
        <w:br/>
      </w:r>
      <w:r>
        <w:t xml:space="preserve">TXK exhibits a modular domain architecture characteristic of the Tec family. Its overall structure is organized into distinct regions that contribute both to substrate recognition and catalytic activity.</w:t>
      </w:r>
      <w:r>
        <w:br/>
      </w:r>
      <w:r>
        <w:t xml:space="preserve">• At the extreme N‑terminus, TXK contains a short region that is uniquely proline‑ and cysteine‑rich. This region is a marked deviation from other Tec kinases, which generally contain an amino‑terminal pleckstrin homology (PH) domain for lipid binding and membrane localization. The absence of the PH domain in TXK suggests that alternative mechanisms, possibly mediated by protein–protein interactions involving the proline‑ and cysteine‑rich segment, may be responsible for its subcellular targeting (bolen1997leukocyteproteintyrosine pages 6-9, mahajan1995srcfamilyprotein pages 7-8).</w:t>
      </w:r>
      <w:r>
        <w:br/>
      </w:r>
      <w:r>
        <w:t xml:space="preserve">• Following this unique N‑terminal region is the SH3 domain, which typically binds proline‑rich sequences (PxxP motifs) in interacting proteins and also plays a role in intramolecular contacts that can influence kinase activity.</w:t>
      </w:r>
      <w:r>
        <w:br/>
      </w:r>
      <w:r>
        <w:t xml:space="preserve">• Adjacent to the SH3 domain is the SH2 domain. In typical tyrosine kinases, the SH2 domain binds phosphotyrosine‑containing peptides; however, in TXK, similar to other Tec family members, the SH2 domain may participate in non‑canonical docking interactions that contribute to substrate specificity without strict reliance on phosphotyrosine binding (min2008interleukin2tyrosinekinasesubstrate pages 35-39, min2008interleukin2tyrosinekinasesubstrate pages 73-78).</w:t>
      </w:r>
      <w:r>
        <w:br/>
      </w:r>
      <w:r>
        <w:t xml:space="preserve">• The C‑terminal region of TXK comprises the kinase (SH1) domain, which is responsible for the catalytic activity of phosphoryl transfer. This kinase domain includes characteristic structural elements such as the activation loop, which requires phosphorylation (notably at Tyr‑420 in TXK) to achieve full catalytic competence, the C‑helix, and the hydrophobic regulatory spine. Recent analyses of related Tec kinases have shown that proper alignment of these structures is critical for activity and that intramolecular interactions between the SH2 and kinase domains can stabilize the active state (min2008interleukin2tyrosinekinasesubstrate pages 63-73, joseph2010identificationofan pages 6-8).</w:t>
      </w:r>
      <w:r>
        <w:br/>
      </w:r>
      <w:r>
        <w:t xml:space="preserve">Although no high‑resolution crystal structure of TXK is currently available in the provided context, structural insights derived from biochemical studies and from AlphaFold models of related Tec kinases indicate that its kinase domain adopts the typical two‑lobed structure common to tyrosine kinases. The N‑lobe, primarily composed of β‑sheets and a critical C‑helix, and the C‑lobe, predominantly α‑helical and containing the activation loop, are arranged so that the catalytic cleft can accommodate ATP and substrate proteins in an optimal geometry (bolen1997leukocyteproteintyrosine pages 6-9, min2008interleukin2tyrosinekinasesubstrate pages 44-48).</w:t>
      </w:r>
    </w:p>
    <w:p>
      <w:pPr>
        <w:numPr>
          <w:ilvl w:val="0"/>
          <w:numId w:val="1001"/>
        </w:numPr>
      </w:pPr>
      <w:r>
        <w:t xml:space="preserve">Regulation</w:t>
      </w:r>
      <w:r>
        <w:br/>
      </w:r>
      <w:r>
        <w:t xml:space="preserve">TXK is regulated by several interlinked mechanisms that ensure its kinase activity is tightly coupled to immune receptor engagement. One major regulatory mechanism is phosphorylation. Upon activation of antigen presenting cells (APCs) and subsequent engagement of the T‑cell receptor, TXK is recruited to the plasma membrane where it undergoes phosphorylation at Tyr‑420, a modification that is essential for full activation of its kinase domain (mamand2018characterisinginterleukin2induciblekinase pages 211-214). In addition to phosphorylation, TXK function is modulated by docking interactions that involve non‑canonical binding interfaces. Studies on related Tec kinases have shown that substrate docking can occur through interactions between the SH2 domain of the substrate and complementary charged surfaces on the kinase domain; such interactions enhance phosphorylation efficiency, even when the local sequence motifs are not optimal (min2008interleukin2tyrosinekinasesubstrate pages 35-39, min2008interleukin2tyrosinekinasesubstrate pages 73-78). Furthermore, conformational regulation is a key element in TXK activation. The assembly of the hydrophobic regulatory spine within the kinase domain—stabilized through intramolecular contacts involving the SH2 and kinase domains—ensures that TXK remains catalytically competent only when appropriate upstream signals are present. This allosteric control mechanism has been supported by structural analyses of Tec kinases and is critical for preventing aberrant activation (joseph2010identificationofan pages 6-8).</w:t>
      </w:r>
    </w:p>
    <w:p>
      <w:pPr>
        <w:numPr>
          <w:ilvl w:val="0"/>
          <w:numId w:val="1001"/>
        </w:numPr>
      </w:pPr>
      <w:r>
        <w:t xml:space="preserve">Function</w:t>
      </w:r>
      <w:r>
        <w:br/>
      </w:r>
      <w:r>
        <w:t xml:space="preserve">TXK functions as a non‑receptor tyrosine kinase that is predominantly expressed in T‑lymphocytes, where it plays a central role in the initiation and propagation of T‑cell receptor signaling. Functionally, TXK acts redundantly with Itk to regulate the development, activation, and differentiation of conventional T‑cells as well as non‑conventional natural killer T (NKT) cells. Upon antigen recognition by the T‑cell receptor, a cascade of phosphorylation events is initiated, and TXK is recruited to the cell membrane where it becomes phosphorylated at Tyr‑420, triggering its full activation. One of the hallmark substrates of TXK is phospholipase C gamma 1 (PLCG1); phosphorylation of PLCG1 by TXK facilitates its translocation to lipid rafts and promotes the hydrolysis of phosphoinositides, leading to an increase in intracellular calcium and the nuclear import of NFAT. This signaling cascade is essential for subsequent transcriptional events, such as the expression of cytokines that drive T‑cell responses (min2008interleukin2tyrosinekinasesubstrate pages 35-39, min2008interleukin2tyrosinekinasesubstrate pages 78-82). In addition to PLCG1, TXK phosphorylates other key proteins involved in immune regulation. For instance, phosphorylation of lymphocyte cytosolic protein 2 (LCP2) by TXK contributes to up‑regulation of IL‑2 production—a cytokine critical for T‑cell proliferation—and phosphorylation of CTLA4 at Tyr‑201 facilitates the recruitment of PI‑3 kinase, thereby modulating inhibitory signaling pathways. TXK is also involved in the regulation of interferon‑γ (IFNG) gene expression in T‑helper 1 (Th1) cells, where it forms part of a promoter‑binding complex that includes PARP1 and EEF1A1. Within this complex, TXK phosphorylates both PARP1 and EEF1A1, events that are instrumental in the transcriptional activation of IFNG (mamand2018characterisinginterleukin2induciblekinase pages 32-35, bolen1997leukocyteproteintyrosine pages 6-9, siveen2018roleofnon pages 6-8).</w:t>
      </w:r>
    </w:p>
    <w:p>
      <w:pPr>
        <w:numPr>
          <w:ilvl w:val="0"/>
          <w:numId w:val="1001"/>
        </w:numPr>
      </w:pPr>
      <w:r>
        <w:t xml:space="preserve">Other Comments</w:t>
      </w:r>
      <w:r>
        <w:br/>
      </w:r>
      <w:r>
        <w:t xml:space="preserve">TXK is an attractive target for therapeutic intervention in immune‑mediated disorders and certain hematological malignancies owing to its pivotal role in T‑cell activation and cytokine regulation. Although selective inhibitors that target TXK specifically have not been as extensively characterized as those for its close homolog Itk, there is considerable interest in developing molecules that modulate Tec family kinase activity. The unique structural feature of TXK—its lack of a PH domain—may provide an opportunity for the design of selective agents that disrupt critical protein–protein interactions or substrate docking interfaces unique to TXK. Dysregulation of Tec family kinase signaling, including that mediated by TXK, has been implicated in autoimmune diseases and T‑cell malignancies; however, mutations directly affecting TXK are not as widely reported, and its functional redundancy with Itk suggests that overall perturbations in Tec signaling may underlie pathological conditions (mamand2018characterisinginterleukin2induciblekinase pages 32-35, bolen1997leukocyteproteintyrosine pages 6-9).</w:t>
      </w:r>
    </w:p>
    <w:p>
      <w:pPr>
        <w:numPr>
          <w:ilvl w:val="0"/>
          <w:numId w:val="1001"/>
        </w:numPr>
      </w:pPr>
      <w:r>
        <w:t xml:space="preserve">References</w:t>
      </w:r>
      <w:r>
        <w:br/>
      </w:r>
    </w:p>
    <w:p>
      <w:pPr>
        <w:numPr>
          <w:ilvl w:val="0"/>
          <w:numId w:val="1001"/>
        </w:numPr>
      </w:pPr>
      <w:r>
        <w:t xml:space="preserve">bolen1997leukocyteproteintyrosine pages 6-9</w:t>
      </w:r>
      <w:r>
        <w:br/>
      </w:r>
    </w:p>
    <w:p>
      <w:pPr>
        <w:numPr>
          <w:ilvl w:val="0"/>
          <w:numId w:val="1001"/>
        </w:numPr>
      </w:pPr>
      <w:r>
        <w:t xml:space="preserve">bolen1997leukocyteproteintyrosine pages 9-11</w:t>
      </w:r>
      <w:r>
        <w:br/>
      </w:r>
    </w:p>
    <w:p>
      <w:pPr>
        <w:numPr>
          <w:ilvl w:val="0"/>
          <w:numId w:val="1001"/>
        </w:numPr>
      </w:pPr>
      <w:r>
        <w:t xml:space="preserve">mamand2018characterisinginterleukin2induciblekinase pages 32-35</w:t>
      </w:r>
      <w:r>
        <w:br/>
      </w:r>
    </w:p>
    <w:p>
      <w:pPr>
        <w:numPr>
          <w:ilvl w:val="0"/>
          <w:numId w:val="1001"/>
        </w:numPr>
      </w:pPr>
      <w:r>
        <w:t xml:space="preserve">mamand2018characterisinginterleukin2induciblekinase pages 211-214</w:t>
      </w:r>
      <w:r>
        <w:br/>
      </w:r>
    </w:p>
    <w:p>
      <w:pPr>
        <w:numPr>
          <w:ilvl w:val="0"/>
          <w:numId w:val="1001"/>
        </w:numPr>
      </w:pPr>
      <w:r>
        <w:t xml:space="preserve">mahajan1995srcfamilyprotein pages 7-8</w:t>
      </w:r>
      <w:r>
        <w:br/>
      </w:r>
    </w:p>
    <w:p>
      <w:pPr>
        <w:numPr>
          <w:ilvl w:val="0"/>
          <w:numId w:val="1001"/>
        </w:numPr>
      </w:pPr>
      <w:r>
        <w:t xml:space="preserve">min2008interleukin2tyrosinekinasesubstrate pages 35-39</w:t>
      </w:r>
      <w:r>
        <w:br/>
      </w:r>
    </w:p>
    <w:p>
      <w:pPr>
        <w:numPr>
          <w:ilvl w:val="0"/>
          <w:numId w:val="1001"/>
        </w:numPr>
      </w:pPr>
      <w:r>
        <w:t xml:space="preserve">min2008interleukin2tyrosinekinasesubstrate pages 39-44</w:t>
      </w:r>
      <w:r>
        <w:br/>
      </w:r>
    </w:p>
    <w:p>
      <w:pPr>
        <w:numPr>
          <w:ilvl w:val="0"/>
          <w:numId w:val="1001"/>
        </w:numPr>
      </w:pPr>
      <w:r>
        <w:t xml:space="preserve">min2008interleukin2tyrosinekinasesubstrate pages 44-48</w:t>
      </w:r>
      <w:r>
        <w:br/>
      </w:r>
    </w:p>
    <w:p>
      <w:pPr>
        <w:numPr>
          <w:ilvl w:val="0"/>
          <w:numId w:val="1001"/>
        </w:numPr>
      </w:pPr>
      <w:r>
        <w:t xml:space="preserve">min2008interleukin2tyrosinekinasesubstrate pages 57-63</w:t>
      </w:r>
      <w:r>
        <w:br/>
      </w:r>
    </w:p>
    <w:p>
      <w:pPr>
        <w:numPr>
          <w:ilvl w:val="0"/>
          <w:numId w:val="1001"/>
        </w:numPr>
      </w:pPr>
      <w:r>
        <w:t xml:space="preserve">min2008interleukin2tyrosinekinasesubstrate pages 63-73</w:t>
      </w:r>
      <w:r>
        <w:br/>
      </w:r>
    </w:p>
    <w:p>
      <w:pPr>
        <w:numPr>
          <w:ilvl w:val="0"/>
          <w:numId w:val="1001"/>
        </w:numPr>
      </w:pPr>
      <w:r>
        <w:t xml:space="preserve">min2008interleukin2tyrosinekinasesubstrate pages 73-78</w:t>
      </w:r>
      <w:r>
        <w:br/>
      </w:r>
    </w:p>
    <w:p>
      <w:pPr>
        <w:numPr>
          <w:ilvl w:val="0"/>
          <w:numId w:val="1001"/>
        </w:numPr>
      </w:pPr>
      <w:r>
        <w:t xml:space="preserve">siveen2018roleofnon pages 6-8</w:t>
      </w:r>
      <w:r>
        <w:br/>
      </w:r>
    </w:p>
    <w:p>
      <w:pPr>
        <w:numPr>
          <w:ilvl w:val="0"/>
          <w:numId w:val="1001"/>
        </w:numPr>
      </w:pPr>
      <w:r>
        <w:t xml:space="preserve">joseph2010identificationofan pages 6-8</w:t>
      </w:r>
    </w:p>
    <w:p>
      <w:pPr>
        <w:pStyle w:val="FirstParagraph"/>
      </w:pPr>
      <w:r>
        <w:t xml:space="preserve">References</w:t>
      </w:r>
    </w:p>
    <w:p>
      <w:pPr>
        <w:numPr>
          <w:ilvl w:val="0"/>
          <w:numId w:val="1002"/>
        </w:numPr>
      </w:pPr>
      <w:r>
        <w:t xml:space="preserve">(min2008interleukin2tyrosinekinasesubstrate pages 35-39): Lie Min. Interleukin-2-tyrosine kinase substrate docking and its regulation by an intramolecular interaction in phospholipase Cg1. PhD thesis, Iowa State University, 2008. URL: https://doi.org/10.31274/etd-180810-1277, doi:10.31274/etd-180810-1277. This article has 0 citations.</w:t>
      </w:r>
    </w:p>
    <w:p>
      <w:pPr>
        <w:numPr>
          <w:ilvl w:val="0"/>
          <w:numId w:val="1002"/>
        </w:numPr>
      </w:pPr>
      <w:r>
        <w:t xml:space="preserve">(min2008interleukin2tyrosinekinasesubstrate pages 39-44): Lie Min. Interleukin-2-tyrosine kinase substrate docking and its regulation by an intramolecular interaction in phospholipase Cg1. PhD thesis, Iowa State University, 2008. URL: https://doi.org/10.31274/etd-180810-1277, doi:10.31274/etd-180810-1277. This article has 0 citations.</w:t>
      </w:r>
    </w:p>
    <w:p>
      <w:pPr>
        <w:numPr>
          <w:ilvl w:val="0"/>
          <w:numId w:val="1002"/>
        </w:numPr>
      </w:pPr>
      <w:r>
        <w:t xml:space="preserve">(min2008interleukin2tyrosinekinasesubstrate pages 44-48): Lie Min. Interleukin-2-tyrosine kinase substrate docking and its regulation by an intramolecular interaction in phospholipase Cg1. PhD thesis, Iowa State University, 2008. URL: https://doi.org/10.31274/etd-180810-1277, doi:10.31274/etd-180810-1277. This article has 0 citations.</w:t>
      </w:r>
    </w:p>
    <w:p>
      <w:pPr>
        <w:numPr>
          <w:ilvl w:val="0"/>
          <w:numId w:val="1002"/>
        </w:numPr>
      </w:pPr>
      <w:r>
        <w:t xml:space="preserve">(min2008interleukin2tyrosinekinasesubstrate pages 63-73): Lie Min. Interleukin-2-tyrosine kinase substrate docking and its regulation by an intramolecular interaction in phospholipase Cg1. PhD thesis, Iowa State University, 2008. URL: https://doi.org/10.31274/etd-180810-1277, doi:10.31274/etd-180810-1277. This article has 0 citations.</w:t>
      </w:r>
    </w:p>
    <w:p>
      <w:pPr>
        <w:numPr>
          <w:ilvl w:val="0"/>
          <w:numId w:val="1002"/>
        </w:numPr>
      </w:pPr>
      <w:r>
        <w:t xml:space="preserve">(min2008interleukin2tyrosinekinasesubstrate pages 73-78): Lie Min. Interleukin-2-tyrosine kinase substrate docking and its regulation by an intramolecular interaction in phospholipase Cg1. PhD thesis, Iowa State University, 2008. URL: https://doi.org/10.31274/etd-180810-1277, doi:10.31274/etd-180810-1277. This article has 0 citations.</w:t>
      </w:r>
    </w:p>
    <w:p>
      <w:pPr>
        <w:numPr>
          <w:ilvl w:val="0"/>
          <w:numId w:val="1002"/>
        </w:numPr>
      </w:pPr>
      <w:r>
        <w:t xml:space="preserve">(siveen2018roleofnon pages 6-8): Kodappully S. Siveen, Kirti S. Prabhu, Iman W. Achkar, Shilpa Kuttikrishnan, Sunitha Shyam, Abdul Q. Khan, Maysaloun Merhi, Said Dermime, and Shahab Uddin. Role of non receptor tyrosine kinases in hematological malignances and its targeting by natural products. Molecular Cancer, Feb 2018. URL: https://doi.org/10.1186/s12943-018-0788-y, doi:10.1186/s12943-018-0788-y. This article has 159 citations and is from a highest quality peer-reviewed journal.</w:t>
      </w:r>
    </w:p>
    <w:p>
      <w:pPr>
        <w:numPr>
          <w:ilvl w:val="0"/>
          <w:numId w:val="1002"/>
        </w:numPr>
      </w:pPr>
      <w:r>
        <w:t xml:space="preserve">(bolen1997leukocyteproteintyrosine pages 6-9): Joseph B. Bolen and Joan S. Brugge. Leukocyte protein tyrosine kinases:potential targets for drug discovery. Annual Review of Immunology, 15:371-404, Apr 1997. URL: https://doi.org/10.1146/annurev.immunol.15.1.371, doi:10.1146/annurev.immunol.15.1.371. This article has 242 citations and is from a highest quality peer-reviewed journal.</w:t>
      </w:r>
    </w:p>
    <w:p>
      <w:pPr>
        <w:numPr>
          <w:ilvl w:val="0"/>
          <w:numId w:val="1002"/>
        </w:numPr>
      </w:pPr>
      <w:r>
        <w:t xml:space="preserve">(bolen1997leukocyteproteintyrosine pages 9-11): Joseph B. Bolen and Joan S. Brugge. Leukocyte protein tyrosine kinases:potential targets for drug discovery. Annual Review of Immunology, 15:371-404, Apr 1997. URL: https://doi.org/10.1146/annurev.immunol.15.1.371, doi:10.1146/annurev.immunol.15.1.371. This article has 242 citations and is from a highest quality peer-reviewed journal.</w:t>
      </w:r>
    </w:p>
    <w:p>
      <w:pPr>
        <w:numPr>
          <w:ilvl w:val="0"/>
          <w:numId w:val="1002"/>
        </w:numPr>
      </w:pPr>
      <w:r>
        <w:t xml:space="preserve">(joseph2010identificationofan pages 6-8): Raji E. Joseph, Qian Xie, and Amy H. Andreotti. Identification of an allosteric signaling network within tec family kinases. Journal of Molecular Biology, 403:231-242, Oct 2010. URL: https://doi.org/10.1016/j.jmb.2010.08.035, doi:10.1016/j.jmb.2010.08.035. This article has 46 citations and is from a domain leading peer-reviewed journal.</w:t>
      </w:r>
    </w:p>
    <w:p>
      <w:pPr>
        <w:numPr>
          <w:ilvl w:val="0"/>
          <w:numId w:val="1002"/>
        </w:numPr>
      </w:pPr>
      <w:r>
        <w:t xml:space="preserve">(mamand2018characterisinginterleukin2induciblekinase pages 211-214): SM Mamand. Characterising interleukin-2-inducible kinase (itk) inhibitors and their potential for moulding cd4 t-cell plasticity. Unknown journal, 2018. URL: https://doi.org/10214849/1, doi:10214849/1.</w:t>
      </w:r>
    </w:p>
    <w:p>
      <w:pPr>
        <w:numPr>
          <w:ilvl w:val="0"/>
          <w:numId w:val="1002"/>
        </w:numPr>
      </w:pPr>
      <w:r>
        <w:t xml:space="preserve">(mamand2018characterisinginterleukin2induciblekinase pages 32-35): SM Mamand. Characterising interleukin-2-inducible kinase (itk) inhibitors and their potential for moulding cd4 t-cell plasticity. Unknown journal, 2018. URL: https://doi.org/10214849/1, doi:10214849/1.</w:t>
      </w:r>
    </w:p>
    <w:p>
      <w:pPr>
        <w:numPr>
          <w:ilvl w:val="0"/>
          <w:numId w:val="1002"/>
        </w:numPr>
      </w:pPr>
      <w:r>
        <w:t xml:space="preserve">(min2008interleukin2tyrosinekinasesubstrate pages 57-63): Lie Min. Interleukin-2-tyrosine kinase substrate docking and its regulation by an intramolecular interaction in phospholipase Cg1. PhD thesis, Iowa State University, 2008. URL: https://doi.org/10.31274/etd-180810-1277, doi:10.31274/etd-180810-1277. This article has 0 citations.</w:t>
      </w:r>
    </w:p>
    <w:p>
      <w:pPr>
        <w:numPr>
          <w:ilvl w:val="0"/>
          <w:numId w:val="1002"/>
        </w:numPr>
      </w:pPr>
      <w:r>
        <w:t xml:space="preserve">(min2008interleukin2tyrosinekinasesubstrate pages 78-82): Lie Min. Interleukin-2-tyrosine kinase substrate docking and its regulation by an intramolecular interaction in phospholipase Cg1. PhD thesis, Iowa State University, 2008. URL: https://doi.org/10.31274/etd-180810-1277, doi:10.31274/etd-180810-1277. This article has 0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2025-06-02T14:18:52Z</dcterms:created>
  <dcterms:modified xsi:type="dcterms:W3CDTF">2025-06-02T14:18:52Z</dcterms:modified>
</cp:coreProperties>
</file>

<file path=docProps/custom.xml><?xml version="1.0" encoding="utf-8"?>
<Properties xmlns="http://schemas.openxmlformats.org/officeDocument/2006/custom-properties" xmlns:vt="http://schemas.openxmlformats.org/officeDocument/2006/docPropsVTypes"/>
</file>