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Receptor-interacting serine/threonine-protein kinase 4 (RIPK4) is a member of the receptor-interacting protein kinase family, which has been phylogenetically categorized into a core group of genuine family members (RIPK1 to RIPK5) that share a conserved N‐terminal serine/threonine kinase domain. Comparative analyses indicate that RIPK4, along with RIPK5, is evolutionarily distinct within this group owing to its unique C‐terminal region composed of eleven ankyrin repeats, a feature that is absent in other family members such as RIPK1, RIPK2, and RIPK3 that contain domains like RHIM, death domains, or caspase recruitment domains (buyseUnknownyearinvestigatingthepkcηripk4b pages 11-14, urwylerrosselet2023functionsofthe pages 1-3). Orthologs of RIPK4 have been identified in diverse vertebrate species giving evidence that the kinase has been conserved throughout vertebrate evolution to fulfill functions related to keratinocyte differentiation and skin homeostasis (urwylerrosselet2023functionsofthe pages 1-3, lv2022comparativeandevolutionary pages 4-6). Its phylogenetic placement among the receptor-interacting kinases underscores its role as a signal transducer that emerged in conjunction with the development of complex epithelial structures (buyseUnknownyearinvestigatingthepkcηripk4b pages 11-14).</w:t>
      </w:r>
    </w:p>
    <w:p>
      <w:pPr>
        <w:numPr>
          <w:ilvl w:val="0"/>
          <w:numId w:val="1001"/>
        </w:numPr>
      </w:pPr>
      <w:r>
        <w:t xml:space="preserve">Reaction Catalyzed</w:t>
      </w:r>
      <w:r>
        <w:br/>
      </w:r>
      <w:r>
        <w:t xml:space="preserve">RIPK4 functions as a serine/threonine protein kinase and catalyzes the transfer of the γ-phosphate from ATP to specific serine or threonine residues on substrate proteins. In biochemical terms, the reaction follows the general kinase reaction mechanism: ATP + substrate → ADP + phosphorylated substrate + H⁺ (huang2013phosphorylationofdishevelled pages 1-1).</w:t>
      </w:r>
    </w:p>
    <w:p>
      <w:pPr>
        <w:numPr>
          <w:ilvl w:val="0"/>
          <w:numId w:val="1001"/>
        </w:numPr>
      </w:pPr>
      <w:r>
        <w:t xml:space="preserve">Cofactor Requirements</w:t>
      </w:r>
      <w:r>
        <w:br/>
      </w:r>
      <w:r>
        <w:t xml:space="preserve">The catalytic activity of RIPK4 is dependent on the presence of divalent cations, most notably Mg²⁺, which is essential to coordinate ATP binding and proper positioning of the phosphate groups during catalysis (cuny2021ripkproteinkinase pages 3-4).</w:t>
      </w:r>
    </w:p>
    <w:p>
      <w:pPr>
        <w:numPr>
          <w:ilvl w:val="0"/>
          <w:numId w:val="1001"/>
        </w:numPr>
      </w:pPr>
      <w:r>
        <w:t xml:space="preserve">Substrate Specificity</w:t>
      </w:r>
      <w:r>
        <w:br/>
      </w:r>
      <w:r>
        <w:t xml:space="preserve">As a serine/threonine kinase, RIPK4 phosphorylates target proteins on serine and threonine residues; among its substrates, RIPK4 is known to phosphorylate the transcription factor interferon regulatory factor 6 (IRF6) on specific serine residues, such as Ser413 and Ser424, thereby modulating keratinocyte differentiation (buyseUnknownyearinvestigatingthepkcηripk4a pages 14-16, kwa2014receptorinteractingproteinkinase pages 6-7). Additional substrates include plakophilin-1 (PKP1), whose phosphorylation by RIPK4 promotes cell adhesion and proper epidermal differentiation (buyseUnknownyearinvestigatingthepkcηripk4 pages 14-16, buyseUnknownyearinvestigatingthepkcηripk4b pages 56-59). The kinase domain of RIPK4 exhibits a serine/threonine specificity trait that underlies its role in eliciting downstream signaling cascades in keratinocytes, although a detailed consensus phosphorylation motif has not been explicitly defined in the current literature (chirieleison2016syntheticbiologyreveals pages 7-9).</w:t>
      </w:r>
    </w:p>
    <w:p>
      <w:pPr>
        <w:numPr>
          <w:ilvl w:val="0"/>
          <w:numId w:val="1001"/>
        </w:numPr>
      </w:pPr>
      <w:r>
        <w:t xml:space="preserve">Structure</w:t>
      </w:r>
      <w:r>
        <w:br/>
      </w:r>
      <w:r>
        <w:t xml:space="preserve">RIPK4 presents a modular architecture with a conserved N-terminal kinase domain, which is central to its catalytic activity, followed by an intermediate region and a C-terminal domain that contains eleven ankyrin repeats. The kinase domain is characterized by classical catalytic motifs, including an activation loop, a hydrophobic spine, and a conserved C-helix that is essential for ATP binding and substrate phosphorylation; structural studies have demonstrated that its kinase activity is dimerization-dependent, a mechanism critical for full enzymatic activation (chirieleison2016syntheticbiologyreveals pages 6-7, cuny2021ripkproteinkinase pages 6-8). The ankyrin repeats in the C-terminal portion facilitate protein–protein interactions that are crucial for initial assembly of signaling complexes and for substrate recruitment. Additionally, the intermediate domain may contain regulatory elements such as potential caspase cleavage sites that modulate RIPK4’s function during apoptotic signaling (fransen2011exploringtherole pages 122-124, buyseUnknownyearinvestigatingthepkcηripk4a pages 11-14). High-resolution structural models, including those predicted by AlphaFold and confirmed by crystallographic data for segments of the kinase domain, reinforce the view of RIPK4 as a multidomain enzyme with unique regulatory features relative to other RIP kinases (chirieleison2016syntheticbiologyreveals pages 7-9).</w:t>
      </w:r>
    </w:p>
    <w:p>
      <w:pPr>
        <w:numPr>
          <w:ilvl w:val="0"/>
          <w:numId w:val="1001"/>
        </w:numPr>
      </w:pPr>
      <w:r>
        <w:t xml:space="preserve">Regulation</w:t>
      </w:r>
      <w:r>
        <w:br/>
      </w:r>
      <w:r>
        <w:t xml:space="preserve">RIPK4’s activity is modulated by a variety of post-translational modifications and protein–protein interactions. Autophosphorylation within its kinase domain is a key regulatory event, and analyses of its activation have shown that dimerization is essential for full kinase activity (chirieleison2016syntheticbiologyreveals pages 6-7, cuny2021ripkproteinkinase pages 8-8). Ubiquitin-mediated regulation also plays a significant role; RIPK4 is targeted for ubiquitination by the SCFβ-TrCP E3 ubiquitin ligase complex, with specific phosphodegron motifs (particularly in the region encompassing serines 379, 382, and 383) being crucial for this interaction. Mutation of these serine residues disrupts the binding to β-TrCP and alters protein stability, thereby affecting downstream signaling events and maintaining the organization of the cortical actin cytoskeleton in keratinocytes (tanghe2018ripk4activityin pages 6-7). Additionally, RIPK4 is subject to proteolytic cleavage by caspase-8 under pro-apoptotic conditions, a modification that impairs its anti-apoptotic NF-κB activating function and thereby shifts the cellular balance toward programmed cell death (torre2021theroleof pages 5-6). These multiple layers of regulation ensure that RIPK4 activity is tightly controlled during epidermal differentiation and stress responses (fransen2011exploringtherolea pages 117-122).</w:t>
      </w:r>
    </w:p>
    <w:p>
      <w:pPr>
        <w:numPr>
          <w:ilvl w:val="0"/>
          <w:numId w:val="1001"/>
        </w:numPr>
      </w:pPr>
      <w:r>
        <w:t xml:space="preserve">Function</w:t>
      </w:r>
      <w:r>
        <w:br/>
      </w:r>
      <w:r>
        <w:t xml:space="preserve">RIPK4 is essential for proper embryonic skin development and the maintenance of epidermal homeostasis in adults. It plays a central role in keratinocyte differentiation by phosphorylating key substrates such as PKP1, which promote cell adhesion and the formation of mature epidermal layers (buyseUnknownyearinvestigatingthepkcηripk4 pages 14-16, buyseUnknownyearinvestigatingthepkcηripk4b pages 56-59). As a direct transcriptional target of TP63, RIPK4 contributes to a regulatory network that governs epithelial cell fate and differentiation (Information section). Additionally, RIPK4 activates downstream signaling pathways including NF-κB, a critical transcription factor involved in inflammatory responses, cell survival, and proliferation (buyseUnknownyearinvestigatingthepkcηripk4 pages 14-16, fransen2011exploringtheroleb pages 117-122). In certain contexts, RIPK4 also modulates Wnt/β-catenin signaling via phosphorylation of Dishevelled proteins, further linking it to developmental processes and cell differentiation (huang2013phosphorylationofdishevelled pages 1-1). Expression studies indicate that RIPK4 is predominantly expressed in epithelial tissues with particular enrichment in the skin, where its deficiency in murine models results in severe epidermal defects, abnormal keratinocyte differentiation, and neonatal lethality due to compromised skin barrier function (buyseUnknownyearinvestigatingthepkcηripk4a pages 14-16, urwylerrosselet2023functionsofthe pages 10-11). In cancer biology, RIPK4 has been associated with tumor suppressor functions in cutaneous squamous cell carcinoma, as mutations or downregulation of its expression correlate with increased tumor aggressiveness (wolnicka2021rolabiałkaripk4 pages 8-8, buyseUnknownyearinvestigatingthepkcηripk4 pages 14-16).</w:t>
      </w:r>
    </w:p>
    <w:p>
      <w:pPr>
        <w:numPr>
          <w:ilvl w:val="0"/>
          <w:numId w:val="1001"/>
        </w:numPr>
      </w:pPr>
      <w:r>
        <w:t xml:space="preserve">Other Comments</w:t>
      </w:r>
      <w:r>
        <w:br/>
      </w:r>
      <w:r>
        <w:t xml:space="preserve">RIPK4 is subject to pharmacological modulation; recent studies have demonstrated that inhibitors developed for mutant BRAF, such as vemurafenib and dabrafenib, can downregulate RIPK4 protein levels, suggesting a potential off-target effect that might influence its signaling in melanomas (madej2023vemurafenibanddabrafenib pages 1-2, madej2023vemurafenibanddabrafenib pages 22-23). Furthermore, mutations in RIPK4 are causally linked to autosomal recessive developmental disorders such as popliteal pterygium syndrome and Bartsocas-Papas syndrome, implicating loss-of-function variants in profound epidermal malformations (kalay2012mutationsinripk4 pages 3-4, kalay2012mutationsinripk4 pages 6-7). In keratinocytes, RIPK4 interacts with structural proteins like keratin 14, an association that may regulate the turnover or phosphorylation state of keratin filaments, although this interaction does not directly affect keratin heterodimer assembly (sumer2019keratin14is pages 6-9). Thus, RIPK4 functions within a tightly regulated network that integrates kinase signaling, post-translational modifications, and protein-interaction modules to control skin integrity, differentiation, and inflammatory signaling (buyseUnknownyearinvestigatingthepkcηripk4b pages 11-14, chirieleison2016syntheticbiologyreveals pages 2-4).</w:t>
      </w:r>
    </w:p>
    <w:p>
      <w:pPr>
        <w:numPr>
          <w:ilvl w:val="0"/>
          <w:numId w:val="1001"/>
        </w:numPr>
      </w:pPr>
      <w:r>
        <w:t xml:space="preserve">References</w:t>
      </w:r>
      <w:r>
        <w:br/>
      </w:r>
    </w:p>
    <w:p>
      <w:pPr>
        <w:numPr>
          <w:ilvl w:val="0"/>
          <w:numId w:val="1001"/>
        </w:numPr>
      </w:pPr>
      <w:r>
        <w:t xml:space="preserve">buyseUnknownyearinvestigatingthepkcηripk4 pages 14-16</w:t>
      </w:r>
      <w:r>
        <w:br/>
      </w:r>
    </w:p>
    <w:p>
      <w:pPr>
        <w:numPr>
          <w:ilvl w:val="0"/>
          <w:numId w:val="1001"/>
        </w:numPr>
      </w:pPr>
      <w:r>
        <w:t xml:space="preserve">buyseUnknownyearinvestigatingthepkcηripk4 pages 56-59</w:t>
      </w:r>
      <w:r>
        <w:br/>
      </w:r>
    </w:p>
    <w:p>
      <w:pPr>
        <w:numPr>
          <w:ilvl w:val="0"/>
          <w:numId w:val="1001"/>
        </w:numPr>
      </w:pPr>
      <w:r>
        <w:t xml:space="preserve">buyseUnknownyearinvestigatingthepkcηripk4a pages 14-16</w:t>
      </w:r>
      <w:r>
        <w:br/>
      </w:r>
    </w:p>
    <w:p>
      <w:pPr>
        <w:numPr>
          <w:ilvl w:val="0"/>
          <w:numId w:val="1001"/>
        </w:numPr>
      </w:pPr>
      <w:r>
        <w:t xml:space="preserve">buyseUnknownyearinvestigatingthepkcηripk4b pages 14-16</w:t>
      </w:r>
      <w:r>
        <w:br/>
      </w:r>
    </w:p>
    <w:p>
      <w:pPr>
        <w:numPr>
          <w:ilvl w:val="0"/>
          <w:numId w:val="1001"/>
        </w:numPr>
      </w:pPr>
      <w:r>
        <w:t xml:space="preserve">buyseUnknownyearinvestigatingthepkcηripk4b pages 56-59</w:t>
      </w:r>
      <w:r>
        <w:br/>
      </w:r>
    </w:p>
    <w:p>
      <w:pPr>
        <w:numPr>
          <w:ilvl w:val="0"/>
          <w:numId w:val="1001"/>
        </w:numPr>
      </w:pPr>
      <w:r>
        <w:t xml:space="preserve">chirieleison2016syntheticbiologyreveals pages 4-6</w:t>
      </w:r>
      <w:r>
        <w:br/>
      </w:r>
    </w:p>
    <w:p>
      <w:pPr>
        <w:numPr>
          <w:ilvl w:val="0"/>
          <w:numId w:val="1001"/>
        </w:numPr>
      </w:pPr>
      <w:r>
        <w:t xml:space="preserve">chirieleison2016syntheticbiologyreveals pages 6-7</w:t>
      </w:r>
      <w:r>
        <w:br/>
      </w:r>
    </w:p>
    <w:p>
      <w:pPr>
        <w:numPr>
          <w:ilvl w:val="0"/>
          <w:numId w:val="1001"/>
        </w:numPr>
      </w:pPr>
      <w:r>
        <w:t xml:space="preserve">cuny2021ripkproteinkinase pages 3-4</w:t>
      </w:r>
      <w:r>
        <w:br/>
      </w:r>
    </w:p>
    <w:p>
      <w:pPr>
        <w:numPr>
          <w:ilvl w:val="0"/>
          <w:numId w:val="1001"/>
        </w:numPr>
      </w:pPr>
      <w:r>
        <w:t xml:space="preserve">fransen2011exploringtherole pages 122-124</w:t>
      </w:r>
      <w:r>
        <w:br/>
      </w:r>
    </w:p>
    <w:p>
      <w:pPr>
        <w:numPr>
          <w:ilvl w:val="0"/>
          <w:numId w:val="1001"/>
        </w:numPr>
      </w:pPr>
      <w:r>
        <w:t xml:space="preserve">fransen2011exploringtherolea pages 122-124</w:t>
      </w:r>
      <w:r>
        <w:br/>
      </w:r>
    </w:p>
    <w:p>
      <w:pPr>
        <w:numPr>
          <w:ilvl w:val="0"/>
          <w:numId w:val="1001"/>
        </w:numPr>
      </w:pPr>
      <w:r>
        <w:t xml:space="preserve">fransen2011exploringtheroleb pages 122-124</w:t>
      </w:r>
      <w:r>
        <w:br/>
      </w:r>
    </w:p>
    <w:p>
      <w:pPr>
        <w:numPr>
          <w:ilvl w:val="0"/>
          <w:numId w:val="1001"/>
        </w:numPr>
      </w:pPr>
      <w:r>
        <w:t xml:space="preserve">huang2013phosphorylationofdishevelled pages 1-1</w:t>
      </w:r>
      <w:r>
        <w:br/>
      </w:r>
    </w:p>
    <w:p>
      <w:pPr>
        <w:numPr>
          <w:ilvl w:val="0"/>
          <w:numId w:val="1001"/>
        </w:numPr>
      </w:pPr>
      <w:r>
        <w:t xml:space="preserve">kalay2012mutationsinripk4 pages 3-4</w:t>
      </w:r>
      <w:r>
        <w:br/>
      </w:r>
    </w:p>
    <w:p>
      <w:pPr>
        <w:numPr>
          <w:ilvl w:val="0"/>
          <w:numId w:val="1001"/>
        </w:numPr>
      </w:pPr>
      <w:r>
        <w:t xml:space="preserve">kalay2012mutationsinripk4 pages 6-7</w:t>
      </w:r>
      <w:r>
        <w:br/>
      </w:r>
    </w:p>
    <w:p>
      <w:pPr>
        <w:numPr>
          <w:ilvl w:val="0"/>
          <w:numId w:val="1001"/>
        </w:numPr>
      </w:pPr>
      <w:r>
        <w:t xml:space="preserve">kwa2014receptorinteractingproteinkinase pages 6-7</w:t>
      </w:r>
      <w:r>
        <w:br/>
      </w:r>
    </w:p>
    <w:p>
      <w:pPr>
        <w:numPr>
          <w:ilvl w:val="0"/>
          <w:numId w:val="1001"/>
        </w:numPr>
      </w:pPr>
      <w:r>
        <w:t xml:space="preserve">lv2022comparativeandevolutionary pages 4-6</w:t>
      </w:r>
      <w:r>
        <w:br/>
      </w:r>
    </w:p>
    <w:p>
      <w:pPr>
        <w:numPr>
          <w:ilvl w:val="0"/>
          <w:numId w:val="1001"/>
        </w:numPr>
      </w:pPr>
      <w:r>
        <w:t xml:space="preserve">lv2022comparativeandevolutionary pages 18-20</w:t>
      </w:r>
      <w:r>
        <w:br/>
      </w:r>
    </w:p>
    <w:p>
      <w:pPr>
        <w:numPr>
          <w:ilvl w:val="0"/>
          <w:numId w:val="1001"/>
        </w:numPr>
      </w:pPr>
      <w:r>
        <w:t xml:space="preserve">madej2023vemurafenibanddabrafenib pages 1-2</w:t>
      </w:r>
      <w:r>
        <w:br/>
      </w:r>
    </w:p>
    <w:p>
      <w:pPr>
        <w:numPr>
          <w:ilvl w:val="0"/>
          <w:numId w:val="1001"/>
        </w:numPr>
      </w:pPr>
      <w:r>
        <w:t xml:space="preserve">madej2023vemurafenibanddabrafenib pages 22-23</w:t>
      </w:r>
      <w:r>
        <w:br/>
      </w:r>
    </w:p>
    <w:p>
      <w:pPr>
        <w:numPr>
          <w:ilvl w:val="0"/>
          <w:numId w:val="1001"/>
        </w:numPr>
      </w:pPr>
      <w:r>
        <w:t xml:space="preserve">misehe2024designsynthesisand pages 132-135</w:t>
      </w:r>
      <w:r>
        <w:br/>
      </w:r>
    </w:p>
    <w:p>
      <w:pPr>
        <w:numPr>
          <w:ilvl w:val="0"/>
          <w:numId w:val="1001"/>
        </w:numPr>
      </w:pPr>
      <w:r>
        <w:t xml:space="preserve">misehe2024designsynthesisand pages 44-49</w:t>
      </w:r>
      <w:r>
        <w:br/>
      </w:r>
    </w:p>
    <w:p>
      <w:pPr>
        <w:numPr>
          <w:ilvl w:val="0"/>
          <w:numId w:val="1001"/>
        </w:numPr>
      </w:pPr>
      <w:r>
        <w:t xml:space="preserve">sumer2019keratin14is pages 6-9</w:t>
      </w:r>
      <w:r>
        <w:br/>
      </w:r>
    </w:p>
    <w:p>
      <w:pPr>
        <w:numPr>
          <w:ilvl w:val="0"/>
          <w:numId w:val="1001"/>
        </w:numPr>
      </w:pPr>
      <w:r>
        <w:t xml:space="preserve">tanghe2018ripk4activityin pages 6-7</w:t>
      </w:r>
      <w:r>
        <w:br/>
      </w:r>
    </w:p>
    <w:p>
      <w:pPr>
        <w:numPr>
          <w:ilvl w:val="0"/>
          <w:numId w:val="1001"/>
        </w:numPr>
      </w:pPr>
      <w:r>
        <w:t xml:space="preserve">torre2021theroleof pages 5-6</w:t>
      </w:r>
      <w:r>
        <w:br/>
      </w:r>
    </w:p>
    <w:p>
      <w:pPr>
        <w:numPr>
          <w:ilvl w:val="0"/>
          <w:numId w:val="1001"/>
        </w:numPr>
      </w:pPr>
      <w:r>
        <w:t xml:space="preserve">urwylerrosselet2023functionsofthe pages 1-3</w:t>
      </w:r>
      <w:r>
        <w:br/>
      </w:r>
    </w:p>
    <w:p>
      <w:pPr>
        <w:numPr>
          <w:ilvl w:val="0"/>
          <w:numId w:val="1001"/>
        </w:numPr>
      </w:pPr>
      <w:r>
        <w:t xml:space="preserve">urwylerrosselet2023functionsofthe pages 6-8</w:t>
      </w:r>
      <w:r>
        <w:br/>
      </w:r>
    </w:p>
    <w:p>
      <w:pPr>
        <w:numPr>
          <w:ilvl w:val="0"/>
          <w:numId w:val="1001"/>
        </w:numPr>
      </w:pPr>
      <w:r>
        <w:t xml:space="preserve">urwylerrosselet2023functionsofthe pages 10-11</w:t>
      </w:r>
      <w:r>
        <w:br/>
      </w:r>
    </w:p>
    <w:p>
      <w:pPr>
        <w:numPr>
          <w:ilvl w:val="0"/>
          <w:numId w:val="1001"/>
        </w:numPr>
      </w:pPr>
      <w:r>
        <w:t xml:space="preserve">urwylerrosselet2023functionsofthe pages 12-13</w:t>
      </w:r>
      <w:r>
        <w:br/>
      </w:r>
    </w:p>
    <w:p>
      <w:pPr>
        <w:numPr>
          <w:ilvl w:val="0"/>
          <w:numId w:val="1001"/>
        </w:numPr>
      </w:pPr>
      <w:r>
        <w:t xml:space="preserve">wolnicka2021rolabiałkaripk4 pages 8-8</w:t>
      </w:r>
      <w:r>
        <w:br/>
      </w:r>
    </w:p>
    <w:p>
      <w:pPr>
        <w:numPr>
          <w:ilvl w:val="0"/>
          <w:numId w:val="1001"/>
        </w:numPr>
      </w:pPr>
      <w:r>
        <w:t xml:space="preserve">wolnickagłubisz2021rolabiałkaripk4 pages 8-8</w:t>
      </w:r>
    </w:p>
    <w:p>
      <w:pPr>
        <w:pStyle w:val="FirstParagraph"/>
      </w:pPr>
      <w:r>
        <w:t xml:space="preserve">References</w:t>
      </w:r>
    </w:p>
    <w:p>
      <w:pPr>
        <w:numPr>
          <w:ilvl w:val="0"/>
          <w:numId w:val="1002"/>
        </w:numPr>
      </w:pPr>
      <w:r>
        <w:t xml:space="preserve">(buyseUnknownyearinvestigatingthepkcηripk4 pages 14-16): E Buyse. Investigating the pkcη-ripk4 signalling axis in keratinocyte differentiation. Unknown journal, Unknown year.</w:t>
      </w:r>
    </w:p>
    <w:p>
      <w:pPr>
        <w:numPr>
          <w:ilvl w:val="0"/>
          <w:numId w:val="1002"/>
        </w:numPr>
      </w:pPr>
      <w:r>
        <w:t xml:space="preserve">(buyseUnknownyearinvestigatingthepkcηripk4 pages 56-59): E Buyse. Investigating the pkcη-ripk4 signalling axis in keratinocyte differentiation. Unknown journal, Unknown year.</w:t>
      </w:r>
    </w:p>
    <w:p>
      <w:pPr>
        <w:numPr>
          <w:ilvl w:val="0"/>
          <w:numId w:val="1002"/>
        </w:numPr>
      </w:pPr>
      <w:r>
        <w:t xml:space="preserve">(buyseUnknownyearinvestigatingthepkcηripk4a pages 14-16): E Buyse. Investigating the pkcη-ripk4 signalling axis in keratinocyte differentiation. Unknown journal, Unknown year.</w:t>
      </w:r>
    </w:p>
    <w:p>
      <w:pPr>
        <w:numPr>
          <w:ilvl w:val="0"/>
          <w:numId w:val="1002"/>
        </w:numPr>
      </w:pPr>
      <w:r>
        <w:t xml:space="preserve">(buyseUnknownyearinvestigatingthepkcηripk4b pages 14-16): E Buyse. Investigating the pkcη-ripk4 signalling axis in keratinocyte differentiation. Unknown journal, Unknown year.</w:t>
      </w:r>
    </w:p>
    <w:p>
      <w:pPr>
        <w:numPr>
          <w:ilvl w:val="0"/>
          <w:numId w:val="1002"/>
        </w:numPr>
      </w:pPr>
      <w:r>
        <w:t xml:space="preserve">(buyseUnknownyearinvestigatingthepkcηripk4b pages 56-59): E Buyse. Investigating the pkcη-ripk4 signalling axis in keratinocyte differentiation. Unknown journal, Unknown year.</w:t>
      </w:r>
    </w:p>
    <w:p>
      <w:pPr>
        <w:numPr>
          <w:ilvl w:val="0"/>
          <w:numId w:val="1002"/>
        </w:numPr>
      </w:pPr>
      <w:r>
        <w:t xml:space="preserve">(chirieleison2016syntheticbiologyreveals pages 4-6): SM Chirieleison. Synthetic biology reveals the uniqueness of the rip kinase domain. Unknown journal, 2016. URL: https://doi.org/10/4291/43038, doi:10/4291/43038.</w:t>
      </w:r>
    </w:p>
    <w:p>
      <w:pPr>
        <w:numPr>
          <w:ilvl w:val="0"/>
          <w:numId w:val="1002"/>
        </w:numPr>
      </w:pPr>
      <w:r>
        <w:t xml:space="preserve">(chirieleison2016syntheticbiologyreveals pages 6-7): SM Chirieleison. Synthetic biology reveals the uniqueness of the rip kinase domain. Unknown journal, 2016. URL: https://doi.org/10/4291/43038, doi:10/4291/43038.</w:t>
      </w:r>
    </w:p>
    <w:p>
      <w:pPr>
        <w:numPr>
          <w:ilvl w:val="0"/>
          <w:numId w:val="1002"/>
        </w:numPr>
      </w:pPr>
      <w:r>
        <w:t xml:space="preserve">(cuny2021ripkproteinkinase pages 3-4):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(fransen2011exploringtherole pages 122-124): M Fransen. Exploring the role of caspases and ripk4 during xenopus development. Unknown journal, 2011.</w:t>
      </w:r>
    </w:p>
    <w:p>
      <w:pPr>
        <w:numPr>
          <w:ilvl w:val="0"/>
          <w:numId w:val="1002"/>
        </w:numPr>
      </w:pPr>
      <w:r>
        <w:t xml:space="preserve">(fransen2011exploringtherolea pages 122-124): M Fransen. Exploring the role of caspases and ripk4 during xenopus development. Unknown journal, 2011.</w:t>
      </w:r>
    </w:p>
    <w:p>
      <w:pPr>
        <w:numPr>
          <w:ilvl w:val="0"/>
          <w:numId w:val="1002"/>
        </w:numPr>
      </w:pPr>
      <w:r>
        <w:t xml:space="preserve">(fransen2011exploringtheroleb pages 122-124): M Fransen. Exploring the role of caspases and ripk4 during xenopus development. Unknown journal, 2011.</w:t>
      </w:r>
    </w:p>
    <w:p>
      <w:pPr>
        <w:numPr>
          <w:ilvl w:val="0"/>
          <w:numId w:val="1002"/>
        </w:numPr>
      </w:pPr>
      <w:r>
        <w:t xml:space="preserve">(madej2023vemurafenibanddabrafenib pages 22-23): Ewelina Madej, Anna A. Brożyna, Agnieszka Adamczyk, Norbert Wronski, Agnieszka Harazin-Lechowska, Anna Muzyk, Krzysztof Makuch, Michal Markiewicz, Janusz Rys, and Agnieszka Wolnicka-Glubisz. Vemurafenib and dabrafenib downregulates ripk4 level. Cancers, 15:918, Feb 2023. URL: https://doi.org/10.3390/cancers15030918, doi:10.3390/cancers15030918. This article has 9 citations and is from a peer-reviewed journal.</w:t>
      </w:r>
    </w:p>
    <w:p>
      <w:pPr>
        <w:numPr>
          <w:ilvl w:val="0"/>
          <w:numId w:val="1002"/>
        </w:numPr>
      </w:pPr>
      <w:r>
        <w:t xml:space="preserve">(urwylerrosselet2023functionsofthe pages 1-3):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(urwylerrosselet2023functionsofthe pages 10-11):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(urwylerrosselet2023functionsofthe pages 12-13):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(urwylerrosselet2023functionsofthe pages 6-8):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(buyseUnknownyearinvestigatingthepkcηripk4a pages 11-14): E Buyse. Investigating the pkcη-ripk4 signalling axis in keratinocyte differentiation. Unknown journal, Unknown year.</w:t>
      </w:r>
    </w:p>
    <w:p>
      <w:pPr>
        <w:numPr>
          <w:ilvl w:val="0"/>
          <w:numId w:val="1002"/>
        </w:numPr>
      </w:pPr>
      <w:r>
        <w:t xml:space="preserve">(chirieleison2016syntheticbiologyreveals pages 2-4): SM Chirieleison. Synthetic biology reveals the uniqueness of the rip kinase domain. Unknown journal, 2016. URL: https://doi.org/10/4291/43038, doi:10/4291/43038.</w:t>
      </w:r>
    </w:p>
    <w:p>
      <w:pPr>
        <w:numPr>
          <w:ilvl w:val="0"/>
          <w:numId w:val="1002"/>
        </w:numPr>
      </w:pPr>
      <w:r>
        <w:t xml:space="preserve">(chirieleison2016syntheticbiologyreveals pages 7-9): SM Chirieleison. Synthetic biology reveals the uniqueness of the rip kinase domain. Unknown journal, 2016. URL: https://doi.org/10/4291/43038, doi:10/4291/43038.</w:t>
      </w:r>
    </w:p>
    <w:p>
      <w:pPr>
        <w:numPr>
          <w:ilvl w:val="0"/>
          <w:numId w:val="1002"/>
        </w:numPr>
      </w:pPr>
      <w:r>
        <w:t xml:space="preserve">(cuny2021ripkproteinkinase pages 6-8):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(cuny2021ripkproteinkinase pages 8-8):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(fransen2011exploringtherolea pages 117-122): M Fransen. Exploring the role of caspases and ripk4 during xenopus development. Unknown journal, 2011.</w:t>
      </w:r>
    </w:p>
    <w:p>
      <w:pPr>
        <w:numPr>
          <w:ilvl w:val="0"/>
          <w:numId w:val="1002"/>
        </w:numPr>
      </w:pPr>
      <w:r>
        <w:t xml:space="preserve">(fransen2011exploringtheroleb pages 117-122): M Fransen. Exploring the role of caspases and ripk4 during xenopus development. Unknown journal, 2011.</w:t>
      </w:r>
    </w:p>
    <w:p>
      <w:pPr>
        <w:numPr>
          <w:ilvl w:val="0"/>
          <w:numId w:val="1002"/>
        </w:numPr>
      </w:pPr>
      <w:r>
        <w:t xml:space="preserve">(huang2013phosphorylationofdishevelled pages 1-1): XiaoDong Huang, James C. McGann, Bob Y. Liu, Rami N. Hannoush, Jennie R. Lill, Victoria Pham, Kim Newton, Michael Kakunda, Jinfeng Liu, Christine Yu, Sarah G. Hymowitz, Jo-Anne Hongo, Anthony Wynshaw-Boris, Paul Polakis, Richard M. Harland, and Vishva M. Dixit. Phosphorylation of dishevelled by protein kinase ripk4 regulates wnt signaling. Science, 339:1441-1445, Mar 2013. URL: https://doi.org/10.1126/science.1232253, doi:10.1126/science.1232253. This article has 130 citations and is from a highest quality peer-reviewed journal.</w:t>
      </w:r>
    </w:p>
    <w:p>
      <w:pPr>
        <w:numPr>
          <w:ilvl w:val="0"/>
          <w:numId w:val="1002"/>
        </w:numPr>
      </w:pPr>
      <w:r>
        <w:t xml:space="preserve">(kalay2012mutationsinripk4 pages 3-4): Ersan Kalay, Orhan Sezgin, Vasant Chellappa, Mehmet Mutlu, Heba Morsy, Hulya Kayserili, Elmar Kreiger, Aysegul Cansu, Bayram Toraman, Ebtesam Mohammed Abdalla, Yakup Aslan, Shiv Pillai, and Nurten A. Akarsu. Mutations in ripk4 cause the autosomal-recessive form of popliteal pterygium syndrome. American journal of human genetics, 90 1:76-85, Jan 2012. URL: https://doi.org/10.1016/j.ajhg.2011.11.014, doi:10.1016/j.ajhg.2011.11.014. This article has 121 citations and is from a highest quality peer-reviewed journal.</w:t>
      </w:r>
    </w:p>
    <w:p>
      <w:pPr>
        <w:numPr>
          <w:ilvl w:val="0"/>
          <w:numId w:val="1002"/>
        </w:numPr>
      </w:pPr>
      <w:r>
        <w:t xml:space="preserve">(kalay2012mutationsinripk4 pages 6-7): Ersan Kalay, Orhan Sezgin, Vasant Chellappa, Mehmet Mutlu, Heba Morsy, Hulya Kayserili, Elmar Kreiger, Aysegul Cansu, Bayram Toraman, Ebtesam Mohammed Abdalla, Yakup Aslan, Shiv Pillai, and Nurten A. Akarsu. Mutations in ripk4 cause the autosomal-recessive form of popliteal pterygium syndrome. American journal of human genetics, 90 1:76-85, Jan 2012. URL: https://doi.org/10.1016/j.ajhg.2011.11.014, doi:10.1016/j.ajhg.2011.11.014. This article has 121 citations and is from a highest quality peer-reviewed journal.</w:t>
      </w:r>
    </w:p>
    <w:p>
      <w:pPr>
        <w:numPr>
          <w:ilvl w:val="0"/>
          <w:numId w:val="1002"/>
        </w:numPr>
      </w:pPr>
      <w:r>
        <w:t xml:space="preserve">(kwa2014receptorinteractingproteinkinase pages 6-7): Mei Qi Kwa, Jennifer Huynh, Jiamin Aw, Lianyi Zhang, Thao Nguyen, Eric C. Reynolds, Matthew J. Sweet, John A. Hamilton, and Glen M. Scholz. Receptor-interacting protein kinase 4 and interferon regulatory factor 6 function as a signaling axis to regulate keratinocyte differentiation. Journal of Biological Chemistry, 289:31077-31087, Nov 2014. URL: https://doi.org/10.1074/jbc.m114.589382, doi:10.1074/jbc.m114.589382. This article has 68 citations and is from a domain leading peer-reviewed journal.</w:t>
      </w:r>
    </w:p>
    <w:p>
      <w:pPr>
        <w:numPr>
          <w:ilvl w:val="0"/>
          <w:numId w:val="1002"/>
        </w:numPr>
      </w:pPr>
      <w:r>
        <w:t xml:space="preserve">(lv2022comparativeandevolutionary pages 18-20):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4-6):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(madej2023vemurafenibanddabrafenib pages 1-2): Ewelina Madej, Anna A. Brożyna, Agnieszka Adamczyk, Norbert Wronski, Agnieszka Harazin-Lechowska, Anna Muzyk, Krzysztof Makuch, Michal Markiewicz, Janusz Rys, and Agnieszka Wolnicka-Glubisz. Vemurafenib and dabrafenib downregulates ripk4 level. Cancers, 15:918, Feb 2023. URL: https://doi.org/10.3390/cancers15030918, doi:10.3390/cancers15030918. This article has 9 citations and is from a peer-reviewed journal.</w:t>
      </w:r>
    </w:p>
    <w:p>
      <w:pPr>
        <w:numPr>
          <w:ilvl w:val="0"/>
          <w:numId w:val="1002"/>
        </w:numPr>
      </w:pPr>
      <w:r>
        <w:t xml:space="preserve">(misehe2024designsynthesisand pages 132-135): M Misehe. Design, synthesis and evaluation of novel inhibitors of class ii pi4ks and ripk2/3 kinases. Unknown journal, 2024.</w:t>
      </w:r>
    </w:p>
    <w:p>
      <w:pPr>
        <w:numPr>
          <w:ilvl w:val="0"/>
          <w:numId w:val="1002"/>
        </w:numPr>
      </w:pPr>
      <w:r>
        <w:t xml:space="preserve">(misehe2024designsynthesisand pages 44-49): M Misehe. Design, synthesis and evaluation of novel inhibitors of class ii pi4ks and ripk2/3 kinases. Unknown journal, 2024.</w:t>
      </w:r>
    </w:p>
    <w:p>
      <w:pPr>
        <w:numPr>
          <w:ilvl w:val="0"/>
          <w:numId w:val="1002"/>
        </w:numPr>
      </w:pPr>
      <w:r>
        <w:t xml:space="preserve">(sumer2019keratin14is pages 6-9): Ceren Sümer, Asiye Büşra Boz Er, and Tuba Dinçer. Keratin 14 is a novel interaction partner of keratinocyte differentiation regulator: receptor-interacting protein kinase 4. TURKISH JOURNAL OF BIOLOGY, 43:225-234, Aug 2019. URL: https://doi.org/10.3906/biy-1904-37, doi:10.3906/biy-1904-37. This article has 22 citations and is from a peer-reviewed journal.</w:t>
      </w:r>
    </w:p>
    <w:p>
      <w:pPr>
        <w:numPr>
          <w:ilvl w:val="0"/>
          <w:numId w:val="1002"/>
        </w:numPr>
      </w:pPr>
      <w:r>
        <w:t xml:space="preserve">(tanghe2018ripk4activityin pages 6-7): Giel Tanghe, Corinne Urwyler-Rösselet, Philippe De Groote, Emmanuel Dejardin, Pieter-Jan De Bock, Kris Gevaert, Peter Vandenabeele, and Wim Declercq. Ripk4 activity in keratinocytes is controlled by the scfβ-trcp ubiquitin ligase to maintain cortical actin organization. Cellular and Molecular Life Sciences, 75:2827-2841, Feb 2018. URL: https://doi.org/10.1007/s00018-018-2763-6, doi:10.1007/s00018-018-2763-6. This article has 16 citations and is from a domain leading peer-reviewed journal.</w:t>
      </w:r>
    </w:p>
    <w:p>
      <w:pPr>
        <w:numPr>
          <w:ilvl w:val="0"/>
          <w:numId w:val="1002"/>
        </w:numPr>
      </w:pPr>
      <w:r>
        <w:t xml:space="preserve">(torre2021theroleof pages 5-6):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(wolnicka2021rolabiałkaripk4 pages 8-8): A Wolnicka E Madej, A Lisek. Rola białka ripk4 w fizjologii naskórka. Unknown journal, 2021.</w:t>
      </w:r>
    </w:p>
    <w:p>
      <w:pPr>
        <w:numPr>
          <w:ilvl w:val="0"/>
          <w:numId w:val="1002"/>
        </w:numPr>
      </w:pPr>
      <w:r>
        <w:t xml:space="preserve">(wolnickagłubisz2021rolabiałkaripk4 pages 8-8): Agnieszka Wolnicka-Głubisz, Ewelina Madej, and Anna Lisek. Rola białka ripk4 w fizjologii naskórka. Postępy Biochemii, 67 1:64-71, Feb 2021. URL: https://doi.org/10.18388/pb.2021_370, doi:10.18388/pb.2021_370. This article has 0 citations.</w:t>
      </w:r>
    </w:p>
    <w:p>
      <w:pPr>
        <w:numPr>
          <w:ilvl w:val="0"/>
          <w:numId w:val="1002"/>
        </w:numPr>
      </w:pPr>
      <w:r>
        <w:t xml:space="preserve">(buyseUnknownyearinvestigatingthepkcηripk4b pages 11-14): E Buyse. Investigating the pkcη-ripk4 signalling axis in keratinocyte differentiation. Unknown journal, Unknown year.</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2025-06-02T14:18:50Z</dcterms:created>
  <dcterms:modified xsi:type="dcterms:W3CDTF">2025-06-02T14:18:50Z</dcterms:modified>
</cp:coreProperties>
</file>

<file path=docProps/custom.xml><?xml version="1.0" encoding="utf-8"?>
<Properties xmlns="http://schemas.openxmlformats.org/officeDocument/2006/custom-properties" xmlns:vt="http://schemas.openxmlformats.org/officeDocument/2006/docPropsVTypes"/>
</file>