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CSK (gene: CSK, Uniprot ID: P41240), also known as C‑Src kinase or Protein‑tyrosine kinase CYL, is a cytosolic non‑receptor tyrosine kinase that occupies a critical regulatory position in the Src family kinase (SFK) network. CSK is evolutionarily conserved among vertebrates, with clear orthologs identified in diverse mammalian species such as human, mouse, and rat as well as in lower metazoans. Comparative sequence analyses and genome‐wide studies originally described by Manning and colleagues have placed CSK on a well‐defined phylogenetic branch within the human kinome; it belongs to the regulatory subset of cytoplasmic tyrosine kinases that evolved in parallel with its substrate kinases. CSK and the SFKs have co‑evolved, with CSK emerging early in metazoan evolution to serve as an intrinsic inhibitory control mechanism over SFK activity. The conservation of CSK’s domain architecture and regulatory features across species underscores its indispensable role in maintaining cellular homeostasis by preventing aberrant activation of SFKs (fortner2022apoptosisregulationby pages 1-2, ia2010structuralelementsand pages 21-25).</w:t>
      </w:r>
    </w:p>
    <w:p>
      <w:pPr>
        <w:numPr>
          <w:ilvl w:val="0"/>
          <w:numId w:val="1001"/>
        </w:numPr>
      </w:pPr>
      <w:r>
        <w:t xml:space="preserve">Reaction Catalyzed</w:t>
      </w:r>
      <w:r>
        <w:br/>
      </w:r>
      <w:r>
        <w:t xml:space="preserve">Tyrosine‑protein kinase CSK catalyzes a phosphorylation reaction in which the γ‑phosphate group from ATP is transferred to a specific tyrosine residue on its substrate protein. The chemical reaction may be represented as follows:</w:t>
      </w:r>
      <w:r>
        <w:br/>
      </w:r>
      <w:r>
        <w:t xml:space="preserve">  ATP + [protein]‑L‑tyrosine → ADP + [protein]‑L‑tyrosine‑phosphate + H⁺</w:t>
      </w:r>
      <w:r>
        <w:br/>
      </w:r>
      <w:r>
        <w:t xml:space="preserve">Within its regulatory role, CSK specifically phosphorylates a conserved tyrosine residue located in the C‑terminal tail of Src family kinases – for example, Tyr‑527 in c‑Src. The addition of the phosphate group converts the target tyrosine residue into a phosphotyrosine, which then engages in an intramolecular interaction with the SH2 domain of the same SFK. This interaction stabilizes the kinase in an autoinhibited conformation, thereby attenuating downstream signaling through pathways that control cell growth, differentiation, migration, and immune responses (fortner2022apoptosisregulationby pages 1-2, ia2010structuralelementsand pages 6-10).</w:t>
      </w:r>
    </w:p>
    <w:p>
      <w:pPr>
        <w:numPr>
          <w:ilvl w:val="0"/>
          <w:numId w:val="1001"/>
        </w:numPr>
      </w:pPr>
      <w:r>
        <w:t xml:space="preserve">Cofactor Requirements</w:t>
      </w:r>
      <w:r>
        <w:br/>
      </w:r>
      <w:r>
        <w:t xml:space="preserve">The catalytic activity of CSK is dependent on the presence of divalent metal ions, which are essential cofactors for most protein kinases. Specifically, Mg²⁺ is required for the efficient coordination and binding of ATP within the kinase active site. The Mg²⁺ ion serves to neutralize the negative charges of the ATP phosphates, aligning the nucleotide properly for the phosphoryl transfer reaction. This coordination ensures that critical catalytic residues within the kinase domain interact appropriately with the ATP substrate, thus promoting efficient phosphoryl transfer to the substrate’s tyrosine hydroxyl group (ia2010structuralelementsand pages 21-25).</w:t>
      </w:r>
    </w:p>
    <w:p>
      <w:pPr>
        <w:numPr>
          <w:ilvl w:val="0"/>
          <w:numId w:val="1001"/>
        </w:numPr>
      </w:pPr>
      <w:r>
        <w:t xml:space="preserve">Substrate Specificity</w:t>
      </w:r>
      <w:r>
        <w:br/>
      </w:r>
      <w:r>
        <w:t xml:space="preserve">CSK exhibits a high degree of substrate specificity that is central to its function as a negative regulator of the SFKs. Its primary target is the conserved C‑terminal tail tyrosine residue present on Src family kinases. In the case of c‑Src, phosphorylation of Tyr‑527 results in the establishment of an intramolecular interaction between the phosphotyrosine and the kinase’s own SH2 domain, leading to the stabilization of a closed, inactive conformation. Although a detailed consensus linear motif for CSK has not been as comprehensively defined as for some serine/threonine kinases, combinatorial peptide library analyses have indicated that substrates phosphorylated by CSK tend to exhibit acidic determinants in combination with hydrophobic elements surrounding the target tyrosine. This structural context reinforces the specificity by which CSK recognizes only those tyrosine residues that conform to the distinctive sequence and conformational properties of SFK substrates, thereby minimizing the likelihood of off‑target phosphorylation (ia2010structuralelementsand pages 21-25, yaronbarir2024theintrinsicsubstrate pages 10-11).</w:t>
      </w:r>
    </w:p>
    <w:p>
      <w:pPr>
        <w:numPr>
          <w:ilvl w:val="0"/>
          <w:numId w:val="1001"/>
        </w:numPr>
      </w:pPr>
      <w:r>
        <w:t xml:space="preserve">Structure</w:t>
      </w:r>
      <w:r>
        <w:br/>
      </w:r>
      <w:r>
        <w:t xml:space="preserve">The three-dimensional architecture of CSK is defined by a modular arrangement of distinct domains that work in concert to achieve precise substrate recognition and catalytic activity. CSK is composed of an N‑terminal SH3 domain, an adjacent SH2 domain, and a central kinase (catalytic) domain.</w:t>
      </w:r>
    </w:p>
    <w:p>
      <w:pPr>
        <w:pStyle w:val="FirstParagraph"/>
      </w:pPr>
      <w:r>
        <w:t xml:space="preserve"> • The N‑terminal SH3 domain adopts a compact β‑barrel structure that is enriched in conserved aromatic residues. This domain primarily facilitates protein–protein interactions by binding to proline‑rich motifs (typically PxxP sequences) found in adaptor proteins and other regulatory partners. In addition, the SH3 domain can participate in homodimerization events which may further influence the spatial orientation and regulatory function of CSK within the cytosol (ia2010structuralelementsand pages 6-10, superti‐furga1995structure‐functionrelationshipsin pages 5-6).</w:t>
      </w:r>
    </w:p>
    <w:p>
      <w:pPr>
        <w:pStyle w:val="BodyText"/>
      </w:pPr>
      <w:r>
        <w:t xml:space="preserve"> • Immediately following the SH3 domain is the SH2 domain. Structurally, the SH2 domain is characterized by a central β‑sheet flanked by α‑helices. Its primary function is to bind phosphotyrosine-containing motifs, a property that is exploited in the membrane recruitment of CSK. Binding of the SH2 domain to phosphorylated membrane‑associated adaptor proteins, such as Cbp/PAG, facilitates the proper subcellular localization of CSK near its SFK substrates (ia2010structuralelementsand pages 21-25).</w:t>
      </w:r>
    </w:p>
    <w:p>
      <w:pPr>
        <w:pStyle w:val="BodyText"/>
      </w:pPr>
      <w:r>
        <w:t xml:space="preserve"> • The central kinase domain of CSK displays the classical bilobed structure seen in protein kinases. The smaller N‑lobe contains β‑sheets along with a key α‑helix (the C‑helix) involved in positioning ATP; in particular, a conserved lysine residue (e.g., Lys‑222 in CSK) within the β3‑strand is crucial for coordinating ATP binding. The larger C‑lobe, on the other hand, houses the activation loop – including the DFG motif that coordinates Mg²⁺ binding – and the substrate binding region featuring a hydrophobic spine. This hydrophobic spine, together with the C‑helix, ensures proper alignment of catalytic residues necessary for effective phosphoryl transfer. Unlike many tyrosine kinases that are themselves regulated through activation loop phosphorylation, CSK lacks a requisite autophosphorylation site in its activation segment, a feature that is consistent with its role as a negative regulator rather than an activator (ia2010structuralelementsand pages 33-37, ia2010structuralelementsand pages 48-50, ia2010structuralelementsand pages 50-52, ia2010structuralelementsand pages 6-10).</w:t>
      </w:r>
    </w:p>
    <w:p>
      <w:pPr>
        <w:pStyle w:val="BodyText"/>
      </w:pPr>
      <w:r>
        <w:t xml:space="preserve">Furthermore, the structural integration between the SH3, SH2, and kinase domains provides an important layer of intramolecular communication. These domains interact through defined linker regions that facilitate allosteric transitions and ensure that changes in one domain can influence the conformation and catalytic efficiency of the kinase domain. Recent crystallographic data and comparative modeling also underscore that CSK lacks modifications such as an N‑terminal myristoylation signal that are typically present in SFKs, a characteristic that aligns with its functional distinction as a repressor of kinase signaling (kan2023domainarchitectureof pages 26-28).</w:t>
      </w:r>
    </w:p>
    <w:p>
      <w:pPr>
        <w:pStyle w:val="Compact"/>
        <w:numPr>
          <w:ilvl w:val="0"/>
          <w:numId w:val="1002"/>
        </w:numPr>
      </w:pPr>
      <w:r>
        <w:t xml:space="preserve">Regulation</w:t>
      </w:r>
      <w:r>
        <w:br/>
      </w:r>
      <w:r>
        <w:t xml:space="preserve">The enzymatic activity of CSK is meticulously controlled via several regulatory mechanisms that include subcellular localization, post‑translational modifications, and allosteric conformational dynamics.</w:t>
      </w:r>
    </w:p>
    <w:p>
      <w:pPr>
        <w:pStyle w:val="FirstParagraph"/>
      </w:pPr>
      <w:r>
        <w:t xml:space="preserve"> • A primary regulatory mechanism for CSK is its subcellular localization. CSK is recruited to the plasma membrane through the binding of its SH2 domain to phosphotyrosine motifs on membrane-associated adaptor proteins such as Cbp/PAG. This spatial targeting is essential because the SFK substrates of CSK are membrane-bound; by localizing near these substrates, CSK can effectively exert its inhibitory phosphorylation function (fortner2022apoptosisregulationby pages 1-2, hunter2015theeukaryoticprotein pages 1-3).</w:t>
      </w:r>
    </w:p>
    <w:p>
      <w:pPr>
        <w:pStyle w:val="BodyText"/>
      </w:pPr>
      <w:r>
        <w:t xml:space="preserve"> • Post‑translational modifications also play a role in regulating CSK activity. For example, phosphorylation events mediated by cAMP‑dependent protein kinase (PKA) at residues including Ser364 have been reported. Although the full spectrum of biochemical effects stemming from these modifications is still under investigation, phosphorylation at Ser364 is believed to modulate CSK’s catalytic efficiency and substrate interactions by inducing subtle changes in its conformation (sun2023dissectionofthe pages 10-11, shah2018thesrcmodule pages 1-3).</w:t>
      </w:r>
    </w:p>
    <w:p>
      <w:pPr>
        <w:pStyle w:val="BodyText"/>
      </w:pPr>
      <w:r>
        <w:t xml:space="preserve"> • In addition to phosphorylation, conformational regulation of CSK is achieved through allosteric mechanisms that involve the interdomain communication between the SH3, SH2, and kinase domains. Binding events involving the SH2 domain, such as engagement with phosphotyrosine ligands on adaptor proteins, trigger structural rearrangements that can either enhance or limit catalytic activity. There is also evidence suggesting that redox-sensitive regulation—through transient disulfide bond formation between conserved cysteine residues—might contribute to conformational modulation, although this mechanism has been described only in the context of broader regulatory studies (sun2023dissectionofthe pages 9-9, shah2018thesrcmodule pages 1-3).</w:t>
      </w:r>
    </w:p>
    <w:p>
      <w:pPr>
        <w:pStyle w:val="Compact"/>
        <w:numPr>
          <w:ilvl w:val="0"/>
          <w:numId w:val="1003"/>
        </w:numPr>
      </w:pPr>
      <w:r>
        <w:t xml:space="preserve">Function</w:t>
      </w:r>
      <w:r>
        <w:br/>
      </w:r>
      <w:r>
        <w:t xml:space="preserve">CSK functions as an essential negative regulator in the signaling cascades mediated by Src family kinases. By specifically phosphorylating a conserved inhibitory tyrosine residue (for example, Tyr‑527 in c‑Src) located in the C‑terminal tail of SFKs, CSK enforces an intramolecular phosphotyrosine–SH2 interaction that shifts the affected SFK into a closed, inactive conformation. This autoinhibited state prevents spontaneous or inappropriate activation of SFKs and thereby downregulates downstream signaling pathways involved in cell proliferation, differentiation, motility, and immune responses.</w:t>
      </w:r>
    </w:p>
    <w:p>
      <w:pPr>
        <w:pStyle w:val="FirstParagraph"/>
      </w:pPr>
      <w:r>
        <w:t xml:space="preserve">In immune cell regulation, CSK is critical for maintaining appropriate thresholds for T‑cell receptor (TCR) and B‑cell receptor (BCR) signal transduction. By phosphorylating and inactivating positive effectors such as FYN and LCK, CSK contributes to the fine‑tuning of antigen receptor signaling, thus preventing excessive immune responses and ensuring immune homeostasis. In addition, CSK influences cell adhesion and migration by modulating the activity of downstream targets such as focal adhesion kinase (FAK) and paxillin, which are involved in the organization of the actin cytoskeleton and cell–matrix interactions. The tight control exerted by CSK over SFK activity serves as an important barrier against oncogenic transformation, since unchecked SFK activity is often correlated with increased cell proliferation and metastasis (fortner2022apoptosisregulationby pages 1-2, hunter2015theeukaryoticprotein pages 1-3).</w:t>
      </w:r>
    </w:p>
    <w:p>
      <w:pPr>
        <w:numPr>
          <w:ilvl w:val="0"/>
          <w:numId w:val="1004"/>
        </w:numPr>
      </w:pPr>
      <w:r>
        <w:t xml:space="preserve">Other Comments</w:t>
      </w:r>
      <w:r>
        <w:br/>
      </w:r>
      <w:r>
        <w:t xml:space="preserve">To date, no inhibitors have been reported that are highly selective exclusively for CSK. Instead, available chemical probes and inhibitors typically target broader components of the Src kinase pathway. Owing to its central role in restraining SFK activity, dysregulation of CSK—whether through mutation, altered expression, or mislocalization—has been implicated in various disease states. These include certain cancers, where loss of CSK function can lead to hyperactive SFKs and consequently dysregulated cell growth and survival, as well as cardiovascular and neurological disorders in which aberrant SFK signaling disrupts normal cellular function. The absence of specific CSK inhibitors underscores the ongoing research interest in identifying molecules that can modulate its activity, a pursuit that may eventually lead to novel therapeutic strategies for conditions characterized by excessive SFK signaling (fortner2022apoptosisregulationby pages 1-2, sun2023dissectionofthe pages 9-9, superti‐furga1995structure‐functionrelationshipsin pages 5-6).</w:t>
      </w:r>
    </w:p>
    <w:p>
      <w:pPr>
        <w:numPr>
          <w:ilvl w:val="0"/>
          <w:numId w:val="1004"/>
        </w:numPr>
      </w:pPr>
      <w:r>
        <w:t xml:space="preserve">References</w:t>
      </w:r>
      <w:r>
        <w:br/>
      </w:r>
    </w:p>
    <w:p>
      <w:pPr>
        <w:numPr>
          <w:ilvl w:val="0"/>
          <w:numId w:val="1004"/>
        </w:numPr>
      </w:pPr>
      <w:r>
        <w:t xml:space="preserve">Fortner, A., Chera, A., Tanca, A., &amp; Bucur, O. “Apoptosis regulation by the tyrosine‑protein kinase CSK.” Frontiers in Cell and Developmental Biology, Dec 2022. URL: https://doi.org/10.3389/fcell.2022.1078180, doi:10.3389/fcell.2022.1078180. (fortner2022apoptosisregulationby pages 1-2)</w:t>
      </w:r>
      <w:r>
        <w:br/>
      </w:r>
    </w:p>
    <w:p>
      <w:pPr>
        <w:numPr>
          <w:ilvl w:val="0"/>
          <w:numId w:val="1004"/>
        </w:numPr>
      </w:pPr>
      <w:r>
        <w:t xml:space="preserve">Ia, K. K., Mills, R. D., Hossain, M. I., Chan, K.-C., Jarasrassamee, B., Jorissen, R. N., &amp; Cheng, H.-C. “Structural elements and allosteric mechanisms governing regulation and catalysis of CSK‑family kinases and their inhibition of Src‑family kinases.” Growth Factors, Oct 2010. URL: https://doi.org/10.3109/08977194.2010.484424, doi:10.3109/08977194.2010.484424. (ia2010structuralelementsand pages 1-6, pages 21-25, pages 33-37, pages 48-50, pages 50-52, pages 6-10)</w:t>
      </w:r>
      <w:r>
        <w:br/>
      </w:r>
    </w:p>
    <w:p>
      <w:pPr>
        <w:numPr>
          <w:ilvl w:val="0"/>
          <w:numId w:val="1004"/>
        </w:numPr>
      </w:pPr>
      <w:r>
        <w:t xml:space="preserve">Shah, N. H., Amacher, J. F., Nocka, L. M., &amp; Kuriyan, J. “The Src module: an ancient scaffold in the evolution of cytoplasmic tyrosine kinases.” Critical Reviews in Biochemistry and Molecular Biology, Sep 2018. URL: https://doi.org/10.1080/10409238.2018.1495173, doi:10.1080/10409238.2018.1495173. (shah2018thesrcmodule pages 1-3)</w:t>
      </w:r>
      <w:r>
        <w:br/>
      </w:r>
    </w:p>
    <w:p>
      <w:pPr>
        <w:numPr>
          <w:ilvl w:val="0"/>
          <w:numId w:val="1004"/>
        </w:numPr>
      </w:pPr>
      <w:r>
        <w:t xml:space="preserve">Sun, G., &amp; Ayrapetov, M. K. “Dissection of the catalytic and regulatory structure‑function relationships of CSK protein tyrosine kinase.” Frontiers in Cell and Developmental Biology, Mar 2023. URL: https://doi.org/10.3389/fcell.2023.1148352, doi:10.3389/fcell.2023.1148352. (sun2023dissectionofthe pages 9-9, pages 10-11)</w:t>
      </w:r>
      <w:r>
        <w:br/>
      </w:r>
    </w:p>
    <w:p>
      <w:pPr>
        <w:numPr>
          <w:ilvl w:val="0"/>
          <w:numId w:val="1004"/>
        </w:numPr>
      </w:pPr>
      <w:r>
        <w:t xml:space="preserve">Superti‑Furga, G., &amp; Courtneidge, S. A. “Structure‑function relationships in Src family and related protein tyrosine kinases.” BioEssays, Apr 1995. URL: https://doi.org/10.1002/bies.950170408, doi:10.1002/bies.950170408. (superti‐furga1995structure‐functionrelationshipsin pages 5-6)</w:t>
      </w:r>
      <w:r>
        <w:br/>
      </w:r>
    </w:p>
    <w:p>
      <w:pPr>
        <w:numPr>
          <w:ilvl w:val="0"/>
          <w:numId w:val="1004"/>
        </w:numPr>
      </w:pPr>
      <w:r>
        <w:t xml:space="preserve">Yaron‑Barir, T. M., Joughin, B. A., Huntsman, E. M., Kerelsky, A., Cizin, D. M., Cohen, B. M., … &amp; Johnson, J. L. “The intrinsic substrate specificity of the human tyrosine kinome.” Nature, May 2024. URL: https://doi.org/10.1038/s41586-024-07407-y, doi:10.1038/s41586-024-07407-y. (yaronbarir2024theintrinsicsubstrate pages 10-11)</w:t>
      </w:r>
      <w:r>
        <w:br/>
      </w:r>
    </w:p>
    <w:p>
      <w:pPr>
        <w:numPr>
          <w:ilvl w:val="0"/>
          <w:numId w:val="1004"/>
        </w:numPr>
      </w:pPr>
      <w:r>
        <w:t xml:space="preserve">Hunter, T., &amp; Manning, G. “The eukaryotic protein kinase superfamily and the emergence of receptor tyrosine kinases.” In Receptor Tyrosine Kinases: Structure, Functions and Role in Human Disease, Oct 2015. URL: https://doi.org/10.1007/978-1-4939-2053-2_1, doi:10.1007/978-1-4939-2053-2_1. (hunter2015theeukaryoticprotein pages 1-3)</w:t>
      </w:r>
      <w:r>
        <w:br/>
      </w:r>
    </w:p>
    <w:p>
      <w:pPr>
        <w:numPr>
          <w:ilvl w:val="0"/>
          <w:numId w:val="1004"/>
        </w:numPr>
      </w:pPr>
      <w:r>
        <w:t xml:space="preserve">Kan, Y., Paung, Y.-T., Seeliger, M. A., &amp; Miller, W. T. “Domain architecture of the nonreceptor tyrosine kinase Ack1.” Cells, Mar 2023. URL: https://doi.org/10.3390/cells12060900, doi:10.3390/cells12060900. (kan2023domainarchitectureof pages 26-28)</w:t>
      </w:r>
    </w:p>
    <w:p>
      <w:pPr>
        <w:pStyle w:val="FirstParagraph"/>
      </w:pPr>
      <w:r>
        <w:t xml:space="preserve">References</w:t>
      </w:r>
    </w:p>
    <w:p>
      <w:pPr>
        <w:numPr>
          <w:ilvl w:val="0"/>
          <w:numId w:val="1005"/>
        </w:numPr>
      </w:pPr>
      <w:r>
        <w:t xml:space="preserve">(fortner2022apoptosisregulationby pages 1-2): Andra Fortner, Alexandra Chera, Antoanela Tanca, and Octavian Bucur. Apoptosis regulation by the tyrosine-protein kinase csk. Frontiers in Cell and Developmental Biology, Dec 2022. URL: https://doi.org/10.3389/fcell.2022.1078180, doi:10.3389/fcell.2022.1078180. This article has 10 citations and is from a peer-reviewed journal.</w:t>
      </w:r>
    </w:p>
    <w:p>
      <w:pPr>
        <w:numPr>
          <w:ilvl w:val="0"/>
          <w:numId w:val="1005"/>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21-25):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33-37):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48-50):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50-52):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5"/>
        </w:numPr>
      </w:pPr>
      <w:r>
        <w:t xml:space="preserve">(ia2010structuralelementsand pages 6-10):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