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MRCK gamma, encoded by the CDC42BPG gene and alternatively known as DMPK2, is classified within the AGC kinase family and represents one of the DMPK‐related kinases that serve as critical effectors of Rho family small GTPases such as CDC42 (leung1998myotonicdystrophykinaserelated pages 2-6). Its kinase domain exhibits a high degree of sequence conservation with other members of the myotonic dystrophy kinase subfamily, including MRCK alpha and MRCK beta, with comparative studies demonstrating approximately 68% sequence identity between MRCK gamma and human DMPK, thereby reflecting a close evolutionary relationship among these kinases (leung1998myotonicdystrophykinaserelated pages 2-6). Phylogenetic analyses based on catalytic domain conservation have established that MRCK gamma is embedded in an evolutionarily conserved core group of serine/threonine kinases that were identified in early eukaryotic ancestors, with seminal studies by Manning and colleagues supporting the inclusion of MRCK kinases in the conserved set of AGC kinases (krupa2002therepertoireof pages 2-3). In addition, gene expression studies show that MRCK gamma orthologs are expressed in a variety of tissues such as heart, skeletal muscle, and brain, which underscores the idea that its orthologs are maintained across diverse metazoan lineages (ng2004expressionofthe pages 1-2). The evolutionary conservation of its domain architecture – including a catalytic kinase domain, regulatory regions, and a specific CRIB module for interaction with active CDC42 – further supports its close phylogenetic positioning among kinases that directly couple advanced signal transduction to cytoskeletal reorganization (leung1998myotonicdystrophykinaserelated pages 2-6). Comparative domain analysis reveals that MRCK gamma, like other members of the DMPK family, arose through gene duplication events early in the evolution of vertebrates and has retained key catalytic and regulatory features necessary for its function, supporting its classification within the broadly conserved AGC kinase superfamily (krupa2002therepertoireof pages 2-3). Moreover, the conservation of sequence motifs involved in substrate binding and catalytic activity in MRCK gamma underscores the evolutionary pressure to maintain its functional roles in cytoskeletal dynamics across species (ng2004expressionofthe pages 1-2).</w:t>
      </w:r>
    </w:p>
    <w:p>
      <w:pPr>
        <w:numPr>
          <w:ilvl w:val="0"/>
          <w:numId w:val="1001"/>
        </w:numPr>
      </w:pPr>
      <w:r>
        <w:t xml:space="preserve">Reaction Catalyzed</w:t>
      </w:r>
      <w:r>
        <w:br/>
      </w:r>
      <w:r>
        <w:t xml:space="preserve">MRCK gamma catalyzes the transfer of a phosphate group from ATP to serine or threonine residues on its target protein substrates, following the canonical kinase reaction mechanism that involves the formation of ADP and a phosphorylated protein product along with a liberated proton (leung1998myotonicdystrophykinaserelated pages 1-2). This ATP‐dependent phosphorylation reaction is essential for modulating the functional state of substrate proteins that regulate actomyosin contractility and cytoskeletal reorganization (leung1998myotonicdystrophykinaserelated pages 1-2). The overall reaction can be summarized by the equation: ATP + [protein]-(L-serine or L-threonine) → ADP + [protein]-(L-serine/threonine)-phosphate + H⁺, which is representative of the typical reaction catalyzed by serine/threonine kinases (leung1998myotonicdystrophykinaserelated pages 1-2).</w:t>
      </w:r>
    </w:p>
    <w:p>
      <w:pPr>
        <w:numPr>
          <w:ilvl w:val="0"/>
          <w:numId w:val="1001"/>
        </w:numPr>
      </w:pPr>
      <w:r>
        <w:t xml:space="preserve">Cofactor Requirements</w:t>
      </w:r>
      <w:r>
        <w:br/>
      </w:r>
      <w:r>
        <w:t xml:space="preserve">MRCK gamma exhibits catalytic activity that is strictly dependent on the presence of divalent metal ion cofactors, a common requirement among serine/threonine kinases (umarao2022cdc42racinteractivebinding pages 11-12). In particular, magnesium ions (Mg²⁺) are essential for facilitating the correct positioning of ATP in the catalytic pocket, thereby promoting efficient transfer of the phosphate group during the kinase reaction (umarao2022cdc42racinteractivebinding pages 11-12). The dependence on Mg²⁺ for its catalytic activity indicates that the coordination of these divalent cations is critical for stabilizing transition state conformations and catalytic intermediates (umarao2022cdc42racinteractivebinding pages 11-12).</w:t>
      </w:r>
    </w:p>
    <w:p>
      <w:pPr>
        <w:numPr>
          <w:ilvl w:val="0"/>
          <w:numId w:val="1001"/>
        </w:numPr>
      </w:pPr>
      <w:r>
        <w:t xml:space="preserve">Substrate Specificity</w:t>
      </w:r>
      <w:r>
        <w:br/>
      </w:r>
      <w:r>
        <w:t xml:space="preserve">MRCK gamma displays a substrate specificity that is pivotal for its role in modulating actomyosin dynamics; it phosphorylates serine or threonine residues within target substrates that are directly involved in regulating cell contractility and cytoskeletal organization (leung1998myotonicdystrophykinaserelated pages 2-6). Among its substrates, MRCK gamma is known by similarity to phosphorylate the myosin regulatory light chain (MLC2) specifically at serine 19, a modification that is essential to activate myosin II and subsequently promote actomyosin contractility (leung1998myotonicdystrophykinaserelated pages 2-6). Furthermore, biochemical evidence from studies on related DMPK kinases indicates that MRCK gamma is likely to recognize substrate motifs that feature clusters of basic residues, such as arginine and lysine, positioned N-terminally to the target serine or threonine residue (unbekandt2014theactinmyosinregulatory pages 1-2). High-throughput peptide library assays and substrate specificity atlases for serine/threonine kinases have provided supporting evidence that such a consensus motif, encompassing these basic residues adjacent to the phosphorylation site, is an important determinant for substrate recognition by kinases in this family (umarao2022cdc42racinteractivebinding pages 11-12). Consequently, the selective phosphorylation of substrates like MYPT1, which modulates myosin phosphatase activity, is achieved via this stringent substrate specificity and motif preference, underscoring the enzyme’s finely tuned regulatory role in cytoskeletal remodeling (unbekandt2014theactinmyosinregulatory pages 1-2).</w:t>
      </w:r>
    </w:p>
    <w:p>
      <w:pPr>
        <w:numPr>
          <w:ilvl w:val="0"/>
          <w:numId w:val="1001"/>
        </w:numPr>
      </w:pPr>
      <w:r>
        <w:t xml:space="preserve">Structure</w:t>
      </w:r>
      <w:r>
        <w:br/>
      </w:r>
      <w:r>
        <w:t xml:space="preserve">The three‐dimensional structure of MRCK gamma is characterized by a modular architecture that integrates both catalytic and regulatory domains, thereby supporting its multifaceted role as an effector in cytoskeletal reorganization (leung1998myotonicdystrophykinaserelated pages 2-6). Its N-terminal region encompasses a kinase catalytic domain that adopts the canonical bilobal fold, featuring a smaller N-terminal lobe predominantly composed of beta sheets and a larger C-terminal lobe rich in alpha helices; key structural elements within this domain include the activation loop, the catalytic loop, the hydrophobic spine, and the highly conserved αC-helix which are all essential for catalytic activity (leung1998myotonicdystrophykinaserelated pages 2-6). Directly following the kinase domain is a cysteine-rich region that exhibits structural characteristics reminiscent of domains found in protein kinase C and is thought to contribute to regulatory functions, perhaps through mediating specific protein–protein interactions (leung1998myotonicdystrophykinaserelated pages 2-6). Adjacent to this cysteine-rich module, MRCK gamma contains a pleckstrin homology (PH) domain that functions to interact with phospholipid membranes, thereby directing the proper subcellular localization of the kinase to regions where its substrates are concentrated, such as the cell cortex (leung1998myotonicdystrophykinaserelated pages 2-6, unbekandt2014theactinmyosinregulatory pages 1-2). At the extreme C-terminal end of the protein, a CRIB (CDC42/Rac Interactive Binding) domain is present; this domain mediates binding to GTP‐bound CDC42 and serves both to localize MRCK gamma to sites of active cytoskeletal remodeling and to relieve autoinhibitory constraints imposed on the kinase’s catalytic core (leung1998myotonicdystrophykinaserelated pages 1-2, umarao2022cdc42racinteractivebinding pages 11-12). The integration of these distinct domains into a single polypeptide enables MRCK gamma to couple extracellular signaling events with intracellular cytoskeletal responses via a well‐coordinated spatial and temporal regulation of its catalytic activity (leung1998myotonicdystrophykinaserelated pages 2-6). Recent structural studies, including insights from crystallographic analyses and high‐resolution predictive models, confirm that the overall architecture of MRCK gamma conforms to the established structural paradigms for serine/threonine kinases, while also highlighting unique features — such as the arrangement of its regulatory domains — that underlie its specific functional properties (unbekandt2014theactinmyosinregulatory pages 1-2).</w:t>
      </w:r>
    </w:p>
    <w:p>
      <w:pPr>
        <w:numPr>
          <w:ilvl w:val="0"/>
          <w:numId w:val="1001"/>
        </w:numPr>
      </w:pPr>
      <w:r>
        <w:t xml:space="preserve">Regulation</w:t>
      </w:r>
      <w:r>
        <w:br/>
      </w:r>
      <w:r>
        <w:t xml:space="preserve">The regulation of MRCK gamma is intricately linked to its ability to function as an effector of the small GTPase CDC42, and its activity is modulated by several convergent mechanisms that control both its catalytic performance and subcellular localization (leung1998myotonicdystrophykinaserelated pages 6-9). A principal regulatory mechanism involves the binding of active, GTP‐bound CDC42 to the CRIB domain located in the C-terminal region of MRCK gamma; this binding event is critical for localizing the kinase to the plasma membrane and sites of actin remodeling, and it serves to relieve autoinhibition, thereby enabling full catalytic activation (leung1998myotonicdystrophykinaserelated pages 9-10). Functional studies employing mutations or deletions within the CRIB domain have demonstrated that disruption of CDC42 binding leads to a marked reduction in kinase activity, concomitantly resulting in aberrant cytoskeletal organization and impaired formation of cellular protrusions (leung1998myotonicdystrophykinaserelated pages 9-10). In parallel, the pleckstrin homology (PH) domain of MRCK gamma plays an important regulatory role by mediating interactions with specific phospholipid components of the cell membrane; such interactions contribute to the fine-tuning of the kinase’s spatial distribution within the cell, ensuring that MRCK gamma is targeted to regions where its substrates, including components of the actomyosin apparatus, are most abundant (leung1998myotonicdystrophykinaserelated pages 6-9). Although direct evidence for autophosphorylation events in MRCK gamma is limited, analogous mechanisms observed in related DMPK family kinases suggest that autophosphorylation may further modulate kinase activity by altering the conformation of the activation loop and thereby calibrating the threshold for substrate phosphorylation (umarao2022cdc42racinteractivebinding pages 11-12). Together, these regulatory inputs – CDC42-dependent relief of autoinhibition, lipid-mediated membrane targeting via the PH domain, and possibly autophosphorylation – collaborate to establish a tightly controlled activation state for MRCK gamma, which is essential for its role in dynamic cytoskeletal reorganization (leung1998myotonicdystrophykinaserelated pages 6-9). Furthermore, the interplay between these regulatory domains ensures that MRCK gamma responds appropriately to extracellular signals, thereby coupling environmental cues to targeted phosphorylation events within the cell (leung1998myotonicdystrophykinaserelated pages 9-10).</w:t>
      </w:r>
    </w:p>
    <w:p>
      <w:pPr>
        <w:numPr>
          <w:ilvl w:val="0"/>
          <w:numId w:val="1001"/>
        </w:numPr>
      </w:pPr>
      <w:r>
        <w:t xml:space="preserve">Function</w:t>
      </w:r>
      <w:r>
        <w:br/>
      </w:r>
      <w:r>
        <w:t xml:space="preserve">MRCK gamma serves a central role as a downstream effector of CDC42 in orchestrating the remodeling of the actomyosin cytoskeleton, and its function is integral to a wide variety of cellular processes that include cell adhesion, migration, and invasion (leung1998myotonicdystrophykinaserelated pages 2-6). Through the phosphorylation of key substrates such as the myosin regulatory light chain (MLC2) at serine 19, MRCK gamma activates myosin II, thereby promoting the actomyosin contractility that is critical for the generation of cellular forces and the formation of stress fibers (leung1998myotonicdystrophykinaserelated pages 2-6). In addition, by modulating the phosphorylation state of regulatory proteins such as MYPT1, MRCK gamma indirectly controls myosin phosphatase activity, thus contributing to the persistent phosphorylation of MLC2 and maintaining actomyosin contractile tension (unbekandt2014theactinmyosinregulatory pages 1-2). Expression studies conducted in epithelial cell lines – including HeLa and COS-7 – as well as tissue expression analyses in heart, skeletal muscle, and brain, indicate that MRCK gamma is widely expressed and fulfills critical functions in regulating cell morphology and motility across multiple biological contexts (ng2004expressionofthe pages 1-2, leung1998myotonicdystrophykinaserelated pages 6-9). Functionally, MRCK gamma is positioned at a key node in intracellular signaling pathways, where it acts downstream of CDC42 to translate extracellular or intracellular cues into targeted cytoskeletal rearrangements; this activity is particularly important in the context of cell migration and cancer cell invasion, where enhanced actomyosin contractility facilitates the invasive behavior that is characteristic of metastatic cells (umarao2022cdc42racinteractivebinding pages 11-12). Furthermore, the precise spatial and temporal regulation of MRCK gamma activity – achieved through its integrated network of regulatory domains – enables the coordinated activation of actomyosin-based contractility in response to dynamic signaling environments, thus ensuring that cytoskeletal remodeling occurs in a tightly controlled manner (leung1998myotonicdystrophykinaserelated pages 2-6). Collectively, the diverse cellular functions of MRCK gamma underscore its pivotal role in maintaining cytoskeletal integrity and modulating cellular mechanics in response to a broad range of physiological and pathological stimuli (unbekandt2014theactinmyosinregulatory pages 1-2).</w:t>
      </w:r>
    </w:p>
    <w:p>
      <w:pPr>
        <w:numPr>
          <w:ilvl w:val="0"/>
          <w:numId w:val="1001"/>
        </w:numPr>
      </w:pPr>
      <w:r>
        <w:t xml:space="preserve">Other Comments</w:t>
      </w:r>
      <w:r>
        <w:br/>
      </w:r>
      <w:r>
        <w:t xml:space="preserve">Despite extensive biochemical and structural characterization, selective small-molecule inhibitors that specifically target MRCK gamma have not yet been well established in the literature; current research efforts are directed toward the development of therapeutic agents that can modulate its kinase activity for applications in oncology and other diseases where actomyosin contractility is dysregulated (leung1998myotonicdystrophykinaserelated pages 2-6, umarao2022cdc42racinteractivebinding pages 11-12). In addition, aberrant regulation of MRCK gamma activity has been implicated by similarity in studies of related DMPK family kinases in processes that include cytoskeletal dysfunction and altered cell adhesion; although specific disease-associated mutations in CDC42BPG have not been detailed in the available sources, its involvement in pathways that govern cancer cell invasion has fostered interest in further understanding its role in the metastatic cascade (leung1998myotonicdystrophykinaserelated pages 2-6). The conserved structural and regulatory features of MRCK gamma – particularly its dependence on CDC42 binding for activation and its essential requirement for Mg²⁺ as a cofactor – not only validate its central role in cytoskeletal control but also position it as a promising target for future therapeutic intervention (unbekandt2014theactinmyosinregulatory pages 1-2). Continued investigation into the substrate specificity, regulatory phosphorylation events, and interaction networks of MRCK gamma is expected to provide deeper insights into how this kinase modulates actomyosin contractility and cellular morphology in both normal physiology and disease states (leung1998myotonicdystrophykinaserelated pages 2-6).</w:t>
      </w:r>
    </w:p>
    <w:p>
      <w:pPr>
        <w:numPr>
          <w:ilvl w:val="0"/>
          <w:numId w:val="1001"/>
        </w:numPr>
      </w:pPr>
      <w:r>
        <w:t xml:space="preserve">References</w:t>
      </w:r>
      <w:r>
        <w:br/>
      </w:r>
    </w:p>
    <w:p>
      <w:pPr>
        <w:numPr>
          <w:ilvl w:val="0"/>
          <w:numId w:val="1001"/>
        </w:numPr>
      </w:pPr>
      <w:r>
        <w:t xml:space="preserve">Leung1998MyotonicDystrophyKinaseRelated – Myotonic dystrophy kinase‐related Cdc42‐binding kinase acts as a Cdc42 effector in promoting cytoskeletal reorganization. Molecular and Cellular Biology, 18:130–140, Jan 1998 (pages 1-2, 2-6, 6-9, 9-10).</w:t>
      </w:r>
      <w:r>
        <w:br/>
      </w:r>
    </w:p>
    <w:p>
      <w:pPr>
        <w:numPr>
          <w:ilvl w:val="0"/>
          <w:numId w:val="1001"/>
        </w:numPr>
      </w:pPr>
      <w:r>
        <w:t xml:space="preserve">Ng2004ExpressionOfThe – Expression of the human myotonic dystrophy kinase‐related Cdc42‐binding kinase γ is regulated by promoter DNA methylation and Sp1 binding. Journal of Biological Chemistry, 279:34156–34164, Aug 2004 (pages 1-2).</w:t>
      </w:r>
      <w:r>
        <w:br/>
      </w:r>
    </w:p>
    <w:p>
      <w:pPr>
        <w:numPr>
          <w:ilvl w:val="0"/>
          <w:numId w:val="1001"/>
        </w:numPr>
      </w:pPr>
      <w:r>
        <w:t xml:space="preserve">Umarao2022CDC42RACInteractiveBinding – Cdc42/Rac interactive binding containing effector proteins in unicellular protozoans with reference to human host: locks of the Rho signaling. Frontiers in Genetics, Feb 2022 (pages 11-12).</w:t>
      </w:r>
      <w:r>
        <w:br/>
      </w:r>
    </w:p>
    <w:p>
      <w:pPr>
        <w:numPr>
          <w:ilvl w:val="0"/>
          <w:numId w:val="1001"/>
        </w:numPr>
      </w:pPr>
      <w:r>
        <w:t xml:space="preserve">Unbekandt2014TheActinMyosinRegulatory – The actin-myosin regulatory MRCK kinases: regulation, biological functions and associations with human cancer. Journal of Molecular Medicine, 92:217–225, Feb 2014 (pages 1-2).</w:t>
      </w:r>
      <w:r>
        <w:br/>
      </w:r>
    </w:p>
    <w:p>
      <w:pPr>
        <w:numPr>
          <w:ilvl w:val="0"/>
          <w:numId w:val="1001"/>
        </w:numPr>
      </w:pPr>
      <w:r>
        <w:t xml:space="preserve">Krupa2002TheRepertoireOf – The repertoire of protein kinases encoded in the draft version of the human genome: atypical variations and uncommon domain combinations. Genome Biology, 3:research0066.1–research0066.14, Nov 2002 (pages 2-3).</w:t>
      </w:r>
      <w:r>
        <w:br/>
      </w:r>
    </w:p>
    <w:p>
      <w:pPr>
        <w:numPr>
          <w:ilvl w:val="0"/>
          <w:numId w:val="1001"/>
        </w:numPr>
      </w:pPr>
      <w:r>
        <w:t xml:space="preserve">Okada2011SH3DomainBasedPhototrapping – Sh3 domain–based phototrapping in living cells reveals Rho family GAP signaling complexes. Science Signaling, 4:rs13–rs13, Nov 2011 (pages 31-32).</w:t>
      </w:r>
    </w:p>
    <w:p>
      <w:pPr>
        <w:pStyle w:val="FirstParagraph"/>
      </w:pPr>
      <w:r>
        <w:t xml:space="preserve">References</w:t>
      </w:r>
    </w:p>
    <w:p>
      <w:pPr>
        <w:numPr>
          <w:ilvl w:val="0"/>
          <w:numId w:val="1002"/>
        </w:numPr>
      </w:pPr>
      <w:r>
        <w:t xml:space="preserve">(leung1998myotonicdystrophykinaserelated pages 2-6):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(ng2004expressionofthe pages 1-2): Yvonne Ng, Ivan Tan, Louis Lim, and Thomas Leung. Expression of the human myotonic dystrophy kinase-related cdc42-binding kinase γ is regulated by promoter dna methylation and sp1 binding. Journal of Biological Chemistry, 279:34156-34164, Aug 2004. URL: https://doi.org/10.1074/jbc.m405252200, doi:10.1074/jbc.m405252200. This article has 71 citations and is from a domain leading peer-reviewed journal.</w:t>
      </w:r>
    </w:p>
    <w:p>
      <w:pPr>
        <w:numPr>
          <w:ilvl w:val="0"/>
          <w:numId w:val="1002"/>
        </w:numPr>
      </w:pPr>
      <w:r>
        <w:t xml:space="preserve">(umarao2022cdc42racinteractivebinding pages 11-12): Preeti Umarao, Pragyan Parimita Rath, and Samudrala Gourinath. Cdc42/rac interactive binding containing effector proteins in unicellular protozoans with reference to human host: locks of the rho signaling. Frontiers in Genetics, Feb 2022. URL: https://doi.org/10.3389/fgene.2022.781885, doi:10.3389/fgene.2022.781885. This article has 6 citations and is from a peer-reviewed journal.</w:t>
      </w:r>
    </w:p>
    <w:p>
      <w:pPr>
        <w:numPr>
          <w:ilvl w:val="0"/>
          <w:numId w:val="1002"/>
        </w:numPr>
      </w:pPr>
      <w:r>
        <w:t xml:space="preserve">(unbekandt2014theactinmyosinregulatory pages 1-2): Mathieu Unbekandt and Michael F. Olson. The actin-myosin regulatory mrck kinases: regulation, biological functions and associations with human cancer. Journal of Molecular Medicine, 92:217-225, Feb 2014. URL: https://doi.org/10.1007/s00109-014-1133-6, doi:10.1007/s00109-014-1133-6. This article has 99 citations.</w:t>
      </w:r>
    </w:p>
    <w:p>
      <w:pPr>
        <w:numPr>
          <w:ilvl w:val="0"/>
          <w:numId w:val="1002"/>
        </w:numPr>
      </w:pPr>
      <w:r>
        <w:t xml:space="preserve">(krupa2002therepertoireof pages 2-3):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(leung1998myotonicdystrophykinaserelated pages 1-2):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(leung1998myotonicdystrophykinaserelated pages 6-9):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p>
      <w:pPr>
        <w:numPr>
          <w:ilvl w:val="0"/>
          <w:numId w:val="1002"/>
        </w:numPr>
      </w:pPr>
      <w:r>
        <w:t xml:space="preserve">(leung1998myotonicdystrophykinaserelated pages 9-10):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373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