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Casein kinase I isoform gamma-2 (CK1γ2), encoded by the CSNK1G2 gene (Uniprot ID: P78368), is a member of the CK1 family—a highly conserved group of serine/threonine protein kinases that comprises seven mammalian isoforms (α, β, γ1, γ2, γ3, δ, and ε) identifiable across a wide range of eukaryotes (knippschild2014theck1family pages 1-2). CK1γ2 belongs specifically to the gamma subgroup of CK1 isoforms, which is distinguished by unique non‐catalytic regulatory sequences at the C-terminus that frequently include sites for isoprenylation or palmitoylation; these motifs are thought to facilitate membrane association and direct subcellular localization (cozza2016caseinkinasesas pages 8-10). Phylogenetic analyses based on the conservation of the catalytic kinase domain reveal that the CK1 family traces back to the last common eukaryotic ancestor, with the gamma subfamily representing an evolutionarily distinct branch that has diverged from the δ/ε isoforms yet retained key substrate‐recognition and catalytic features (knippschild2014theck1family pages 1-2, cozza2016caseinkinasesas pages 16-16). Orthologs of CSNK1G2 are found in many mammalian species, underscoring the evolutionary importance of this kinase in conserved cellular processes such as signal transduction and stress responses (knippschild2014theck1family pages 1-2). Moreover, in comparison to other CK1 isoforms, the gamma isoforms including CK1γ2 exhibit divergence in their regulatory regions while conserving the catalytic core, signifying a specialization in their biochemical functions and interaction networks (cozza2016caseinkinasesas pages 8-10).</w:t>
      </w:r>
    </w:p>
    <w:p>
      <w:pPr>
        <w:numPr>
          <w:ilvl w:val="0"/>
          <w:numId w:val="1001"/>
        </w:numPr>
      </w:pPr>
      <w:r>
        <w:t xml:space="preserve">Reaction Catalyzed</w:t>
      </w:r>
      <w:r>
        <w:br/>
      </w:r>
      <w:r>
        <w:t xml:space="preserve">CK1γ2 catalyzes the transfer of a phosphate group from ATP to specific serine/threonine residues on target proteins. In this ATP-dependent reaction, the enzyme binds ATP and a substrate protein containing accessible hydroxyl groups on serine or threonine residues, thereby converting ATP to ADP while phosphorylating the substrate (mashhoon2000crystalstructureof pages 1-1). The fundamental reaction can be summarized as: ATP + [protein]-(L-serine or L-threonine) → ADP + [protein]-(L-serine/threonine)-phosphate + H⁺ (knippschild2014theck1family pages 3-5).</w:t>
      </w:r>
    </w:p>
    <w:p>
      <w:pPr>
        <w:numPr>
          <w:ilvl w:val="0"/>
          <w:numId w:val="1001"/>
        </w:numPr>
      </w:pPr>
      <w:r>
        <w:t xml:space="preserve">Cofactor Requirements</w:t>
      </w:r>
      <w:r>
        <w:br/>
      </w:r>
      <w:r>
        <w:t xml:space="preserve">The catalytic activity of CK1γ2 requires ATP as a phosphoryl donor, and the reaction is dependent on divalent cations—most notably Mg²⁺—which coordinate with ATP within the enzyme’s active site to facilitate phosphate transfer (mashhoon2000crystalstructureof pages 1-1, knippschild2014theck1family pages 1-2). The dependence on Mg²⁺ is a common trait among serine/threonine protein kinases and is essential for proper substrate positioning and the stabilization of the transition state during catalysis (cozza2016caseinkinasesas pages 3-4).</w:t>
      </w:r>
    </w:p>
    <w:p>
      <w:pPr>
        <w:numPr>
          <w:ilvl w:val="0"/>
          <w:numId w:val="1001"/>
        </w:numPr>
      </w:pPr>
      <w:r>
        <w:t xml:space="preserve">Substrate Specificity</w:t>
      </w:r>
      <w:r>
        <w:br/>
      </w:r>
      <w:r>
        <w:t xml:space="preserve">CK1γ2 displays a marked substrate preference for serine/threonine residues that are preceded by acidic amino acids or are part of a “primed” motif containing a phosphorylated serine/threonine at the n‑3 position relative to the target residue. This consensus motif, often represented as pS/pT-X-X-(X)-S/T (where “p” denotes a phosphorylated residue), underpins the enzyme’s ability to recognize a wide variety of substrates (knippschild2014theck1family pages 1-2, cozza2016caseinkinasesas pages 3-4). In addition to this core specificity, CK1γ2 is reported to phosphorylate several substrates involved in key signaling cascades. Experimentally, CK1 family kinases have been shown to phosphorylate proteins such as SMAD3, in which phosphorylation promotes ligand-dependent ubiquitination and subsequent proteasome degradation, and COL4A3BP/CERT where hyperphosphorylation leads to dissociation from the Golgi complex (information provided). The enzyme also appears to mediate the proteasomal degradation of the circadian regulator PER1, a process that further implicates CK1γ2 in the modulation of intracellular signaling networks (information provided).</w:t>
      </w:r>
    </w:p>
    <w:p>
      <w:pPr>
        <w:numPr>
          <w:ilvl w:val="0"/>
          <w:numId w:val="1001"/>
        </w:numPr>
      </w:pPr>
      <w:r>
        <w:t xml:space="preserve">Structure</w:t>
      </w:r>
      <w:r>
        <w:br/>
      </w:r>
      <w:r>
        <w:t xml:space="preserve">CK1γ2 possesses a conserved kinase domain of approximately 286–293 amino acids arranged in a typical bilobal structure; the smaller N-terminal lobe is predominantly composed of β-sheets, while the larger C-terminal lobe is rich in α-helices, together forming the ATP-binding cleft (mashhoon2000crystalstructureof pages 1-1, xu2019structureregulationand pages 4-6). Within this catalytic core, conserved motifs such as the glycine-rich P-loop and the activation loop (harboring key residues like a conserved lysine for ATP coordination and an aspartate acting as a catalytic base) are present, ensuring efficient ATP binding and phosphate transfer (knippschild2014theck1family pages 3-5, cozza2016caseinkinasesas pages 3-4). The non-catalytic regions—primarily located at the N- and C-termini—exhibit significant variability among CK1 isoforms; in the case of CK1γ2, these variable regions are thought to contribute to the enzyme’s substrate selectivity, regulatory interactions, and subcellular localization. Notably, the C-terminal tail of CK1γ2 contains motifs implicated in membrane targeting (e.g., prenylation or palmitoylation sites), which are crucial for its association with Golgi membranes and other specific subcellular locations (cozza2016caseinkinasesas pages 8-10, xu2019structureregulationand pages 4-6). These unique regulatory sequences differentiate the gamma isoforms from other members of the CK1 family and likely determine the distinct cellular functions of CK1γ2 (knippschild2014theck1family pages 1-2).</w:t>
      </w:r>
    </w:p>
    <w:p>
      <w:pPr>
        <w:numPr>
          <w:ilvl w:val="0"/>
          <w:numId w:val="1001"/>
        </w:numPr>
      </w:pPr>
      <w:r>
        <w:t xml:space="preserve">Regulation</w:t>
      </w:r>
      <w:r>
        <w:br/>
      </w:r>
      <w:r>
        <w:t xml:space="preserve">The activity of CK1γ2 is modulated by several regulatory mechanisms. One prominent mode of regulation is autophosphorylation, particularly within the variable C-terminal region, where specific phosphorylation events can exert an autoinhibitory effect on the kinase’s activity (knippschild2014theck1family pages 3-5, cozza2016caseinkinasesas pages 21-21). In addition to autophosphorylation, CK1 isoforms are subject to regulation through phosphorylation by other kinases, as well as through interactions with specific protein partners that can either enhance or inhibit kinase activity. For instance, binding partners capable of interacting in an isoform-selective manner (as illustrated for other CK1 isoforms by isoform-selective interactors reported in dysbindin studies) suggest that CK1γ2 may similarly be regulated through protein–protein interactions that dictate its subcellular targeting and substrate engagement (yin2006dysbindinstructuralhomologue pages 10-10). Membrane association via lipid modifications of the C-terminal domain also represents a key regulatory mechanism by which CK1γ2 is compartmentalized to particular regions of the cell, such as the Golgi complex—a localization that directly influences its functional engagement with substrates like COL4A3BP/CERT (cozza2016caseinkinasesas pages 8-10). These regulatory processes ensure that CK1γ2 activity is tightly controlled in response to cellular metabolic cues and stress signals, thereby modulating signaling pathways in a spatially and temporally coordinated fashion (knippschild2014theck1family pages 3-5, xu2019structureregulationand pages 45-47).</w:t>
      </w:r>
    </w:p>
    <w:p>
      <w:pPr>
        <w:numPr>
          <w:ilvl w:val="0"/>
          <w:numId w:val="1001"/>
        </w:numPr>
      </w:pPr>
      <w:r>
        <w:t xml:space="preserve">Function</w:t>
      </w:r>
      <w:r>
        <w:br/>
      </w:r>
      <w:r>
        <w:t xml:space="preserve">CK1γ2 functions as a serine/threonine protein kinase with a broad substrate repertoire and participates in a variety of cellular processes. It phosphorylates a diverse set of proteins, which include COL4A3BP/CERT, MTA1, and SMAD3. Phosphorylation of SMAD3 by CK1γ2 leads to its ligand-dependent ubiquitination followed by proteasomal degradation, thereby inhibiting SMAD3-mediated TGF-β responses (information provided). In the case of COL4A3BP/CERT, hyperphosphorylation of a serine-repeat motif results in its dissociation from the Golgi complex, down-regulating the ER-to-Golgi transport of ceramide essential for sphingomyelin synthesis (information provided). CK1γ2 is also implicated in regulating the stability of PER1, as its phosphorylation triggers PER1 proteasomal degradation, a process that may contribute to the modulation of circadian rhythms (information provided, knippschild2014theck1family pages 3-5). Furthermore, CK1γ2 participates in brain development, vesicular trafficking, and neurotransmitter release from small synaptic vesicles, where it plays a role in regulating fast synaptic transmission mediated by glutamate (information provided). Collectively, these functions place CK1γ2 as a key mediator in multiple signaling cascades including Wnt signaling, as well as in the regulation of cellular lipid transport, transcription factor stability, and neuronal communication (knippschild2014theck1family pages 1-2, cozza2016caseinkinasesas pages 16-17, schittek2014biologicalfunctionsof pages 1-2).</w:t>
      </w:r>
    </w:p>
    <w:p>
      <w:pPr>
        <w:numPr>
          <w:ilvl w:val="0"/>
          <w:numId w:val="1001"/>
        </w:numPr>
      </w:pPr>
      <w:r>
        <w:t xml:space="preserve">Other Comments</w:t>
      </w:r>
      <w:r>
        <w:br/>
      </w:r>
      <w:r>
        <w:t xml:space="preserve">Given its central role in phosphorylating substrates integral to cell signaling, protein stability, and vesicle trafficking, CK1γ2 is emerging as a potential therapeutic target. Inhibitors specifically designed to target CK1 isoforms have been developed, with some studies reporting potent, isoform-selective inhibitors based on benzamidazole derivatives and related chemotypes that exploit the conserved ATP-binding cleft (cozza2016caseinkinasesas pages 21-21, knippschild2014theck1family pages 31-31). Although there remains a challenge in achieving absolute isoform specificity due to the structural conservation of the kinase domain among CK1 family members, research efforts continue to optimize such compounds for better selectivity profiles. Dysregulation of CK1γ2 activity may have implications in the pathogenesis of conditions such as cancer, where altered phosphorylation events can affect TGF-β signaling, and in neurological disorders, given its role in brain development and synaptic transmission (information provided, schittek2014biologicalfunctionsof pages 2-4, francisco2022caseinkinase1 pages 1-2). Future therapeutic strategies may aim to modulate CK1γ2 activity in these disease contexts by leveraging our growing understanding of its structural features and regulatory mechanisms (cozza2016caseinkinasesas pages 16-17, baier2022ck2andprotein pages 10-13).</w:t>
      </w:r>
    </w:p>
    <w:p>
      <w:pPr>
        <w:numPr>
          <w:ilvl w:val="0"/>
          <w:numId w:val="1001"/>
        </w:numPr>
      </w:pPr>
      <w:r>
        <w:t xml:space="preserve">References</w:t>
      </w:r>
      <w:r>
        <w:br/>
      </w:r>
    </w:p>
    <w:p>
      <w:pPr>
        <w:numPr>
          <w:ilvl w:val="0"/>
          <w:numId w:val="1001"/>
        </w:numPr>
      </w:pPr>
      <w:r>
        <w:t xml:space="preserve">knippschild2014theck1family pages 1-2</w:t>
      </w:r>
      <w:r>
        <w:br/>
      </w:r>
    </w:p>
    <w:p>
      <w:pPr>
        <w:numPr>
          <w:ilvl w:val="0"/>
          <w:numId w:val="1001"/>
        </w:numPr>
      </w:pPr>
      <w:r>
        <w:t xml:space="preserve">knippschild2014theck1family pages 2-3</w:t>
      </w:r>
      <w:r>
        <w:br/>
      </w:r>
    </w:p>
    <w:p>
      <w:pPr>
        <w:numPr>
          <w:ilvl w:val="0"/>
          <w:numId w:val="1001"/>
        </w:numPr>
      </w:pPr>
      <w:r>
        <w:t xml:space="preserve">knippschild2014theck1family pages 3-5</w:t>
      </w:r>
      <w:r>
        <w:br/>
      </w:r>
    </w:p>
    <w:p>
      <w:pPr>
        <w:numPr>
          <w:ilvl w:val="0"/>
          <w:numId w:val="1001"/>
        </w:numPr>
      </w:pPr>
      <w:r>
        <w:t xml:space="preserve">knippschild2014theck1family pages 21-22</w:t>
      </w:r>
      <w:r>
        <w:br/>
      </w:r>
    </w:p>
    <w:p>
      <w:pPr>
        <w:numPr>
          <w:ilvl w:val="0"/>
          <w:numId w:val="1001"/>
        </w:numPr>
      </w:pPr>
      <w:r>
        <w:t xml:space="preserve">knippschild2014theck1family pages 31-31</w:t>
      </w:r>
      <w:r>
        <w:br/>
      </w:r>
    </w:p>
    <w:p>
      <w:pPr>
        <w:numPr>
          <w:ilvl w:val="0"/>
          <w:numId w:val="1001"/>
        </w:numPr>
      </w:pPr>
      <w:r>
        <w:t xml:space="preserve">cozza2016caseinkinasesas pages 8-10</w:t>
      </w:r>
      <w:r>
        <w:br/>
      </w:r>
    </w:p>
    <w:p>
      <w:pPr>
        <w:numPr>
          <w:ilvl w:val="0"/>
          <w:numId w:val="1001"/>
        </w:numPr>
      </w:pPr>
      <w:r>
        <w:t xml:space="preserve">cozza2016caseinkinasesas pages 16-16</w:t>
      </w:r>
      <w:r>
        <w:br/>
      </w:r>
    </w:p>
    <w:p>
      <w:pPr>
        <w:numPr>
          <w:ilvl w:val="0"/>
          <w:numId w:val="1001"/>
        </w:numPr>
      </w:pPr>
      <w:r>
        <w:t xml:space="preserve">cozza2016caseinkinasesas pages 21-21</w:t>
      </w:r>
      <w:r>
        <w:br/>
      </w:r>
    </w:p>
    <w:p>
      <w:pPr>
        <w:numPr>
          <w:ilvl w:val="0"/>
          <w:numId w:val="1001"/>
        </w:numPr>
      </w:pPr>
      <w:r>
        <w:t xml:space="preserve">cozza2016caseinkinasesas pages 3-4</w:t>
      </w:r>
      <w:r>
        <w:br/>
      </w:r>
    </w:p>
    <w:p>
      <w:pPr>
        <w:numPr>
          <w:ilvl w:val="0"/>
          <w:numId w:val="1001"/>
        </w:numPr>
      </w:pPr>
      <w:r>
        <w:t xml:space="preserve">schittek2014biologicalfunctionsof pages 1-2</w:t>
      </w:r>
      <w:r>
        <w:br/>
      </w:r>
    </w:p>
    <w:p>
      <w:pPr>
        <w:numPr>
          <w:ilvl w:val="0"/>
          <w:numId w:val="1001"/>
        </w:numPr>
      </w:pPr>
      <w:r>
        <w:t xml:space="preserve">schittek2014biologicalfunctionsof pages 2-4</w:t>
      </w:r>
      <w:r>
        <w:br/>
      </w:r>
    </w:p>
    <w:p>
      <w:pPr>
        <w:numPr>
          <w:ilvl w:val="0"/>
          <w:numId w:val="1001"/>
        </w:numPr>
      </w:pPr>
      <w:r>
        <w:t xml:space="preserve">schittek2014biologicalfunctionsof pages 12-13</w:t>
      </w:r>
      <w:r>
        <w:br/>
      </w:r>
    </w:p>
    <w:p>
      <w:pPr>
        <w:numPr>
          <w:ilvl w:val="0"/>
          <w:numId w:val="1001"/>
        </w:numPr>
      </w:pPr>
      <w:r>
        <w:t xml:space="preserve">mashhoon2000crystalstructureof pages 1-1</w:t>
      </w:r>
      <w:r>
        <w:br/>
      </w:r>
    </w:p>
    <w:p>
      <w:pPr>
        <w:numPr>
          <w:ilvl w:val="0"/>
          <w:numId w:val="1001"/>
        </w:numPr>
      </w:pPr>
      <w:r>
        <w:t xml:space="preserve">kusuda2000cloningexpressionanalysis pages 4-5</w:t>
      </w:r>
      <w:r>
        <w:br/>
      </w:r>
    </w:p>
    <w:p>
      <w:pPr>
        <w:numPr>
          <w:ilvl w:val="0"/>
          <w:numId w:val="1001"/>
        </w:numPr>
      </w:pPr>
      <w:r>
        <w:t xml:space="preserve">xu2019structureregulationand pages 4-6</w:t>
      </w:r>
      <w:r>
        <w:br/>
      </w:r>
    </w:p>
    <w:p>
      <w:pPr>
        <w:numPr>
          <w:ilvl w:val="0"/>
          <w:numId w:val="1001"/>
        </w:numPr>
      </w:pPr>
      <w:r>
        <w:t xml:space="preserve">xu2019structureregulationand pages 37-39</w:t>
      </w:r>
      <w:r>
        <w:br/>
      </w:r>
    </w:p>
    <w:p>
      <w:pPr>
        <w:numPr>
          <w:ilvl w:val="0"/>
          <w:numId w:val="1001"/>
        </w:numPr>
      </w:pPr>
      <w:r>
        <w:t xml:space="preserve">xu2019structureregulationand pages 45-47</w:t>
      </w:r>
      <w:r>
        <w:br/>
      </w:r>
    </w:p>
    <w:p>
      <w:pPr>
        <w:numPr>
          <w:ilvl w:val="0"/>
          <w:numId w:val="1001"/>
        </w:numPr>
      </w:pPr>
      <w:r>
        <w:t xml:space="preserve">xu2019structureregulationand pages 51-52</w:t>
      </w:r>
      <w:r>
        <w:br/>
      </w:r>
    </w:p>
    <w:p>
      <w:pPr>
        <w:numPr>
          <w:ilvl w:val="0"/>
          <w:numId w:val="1001"/>
        </w:numPr>
      </w:pPr>
      <w:r>
        <w:t xml:space="preserve">xu2019structureregulationand pages 52-53</w:t>
      </w:r>
      <w:r>
        <w:br/>
      </w:r>
    </w:p>
    <w:p>
      <w:pPr>
        <w:numPr>
          <w:ilvl w:val="0"/>
          <w:numId w:val="1001"/>
        </w:numPr>
      </w:pPr>
      <w:r>
        <w:t xml:space="preserve">xu2019structureregulationand pages 39-40</w:t>
      </w:r>
      <w:r>
        <w:br/>
      </w:r>
    </w:p>
    <w:p>
      <w:pPr>
        <w:numPr>
          <w:ilvl w:val="0"/>
          <w:numId w:val="1001"/>
        </w:numPr>
      </w:pPr>
      <w:r>
        <w:t xml:space="preserve">xu2019structureregulationand pages 9-11</w:t>
      </w:r>
      <w:r>
        <w:br/>
      </w:r>
    </w:p>
    <w:p>
      <w:pPr>
        <w:numPr>
          <w:ilvl w:val="0"/>
          <w:numId w:val="1001"/>
        </w:numPr>
      </w:pPr>
      <w:r>
        <w:t xml:space="preserve">xu2019structureregulationand pages 22-24</w:t>
      </w:r>
      <w:r>
        <w:br/>
      </w:r>
    </w:p>
    <w:p>
      <w:pPr>
        <w:numPr>
          <w:ilvl w:val="0"/>
          <w:numId w:val="1001"/>
        </w:numPr>
      </w:pPr>
      <w:r>
        <w:t xml:space="preserve">baier2022ck2andprotein pages 8-10</w:t>
      </w:r>
      <w:r>
        <w:br/>
      </w:r>
    </w:p>
    <w:p>
      <w:pPr>
        <w:numPr>
          <w:ilvl w:val="0"/>
          <w:numId w:val="1001"/>
        </w:numPr>
      </w:pPr>
      <w:r>
        <w:t xml:space="preserve">baier2022ck2andprotein pages 10-13</w:t>
      </w:r>
      <w:r>
        <w:br/>
      </w:r>
    </w:p>
    <w:p>
      <w:pPr>
        <w:numPr>
          <w:ilvl w:val="0"/>
          <w:numId w:val="1001"/>
        </w:numPr>
      </w:pPr>
      <w:r>
        <w:t xml:space="preserve">francisco2022caseinkinase1 pages 1-2</w:t>
      </w:r>
      <w:r>
        <w:br/>
      </w:r>
    </w:p>
    <w:p>
      <w:pPr>
        <w:numPr>
          <w:ilvl w:val="0"/>
          <w:numId w:val="1001"/>
        </w:numPr>
      </w:pPr>
      <w:r>
        <w:t xml:space="preserve">francisco2022caseinkinase1 pages 2-3</w:t>
      </w:r>
      <w:r>
        <w:br/>
      </w:r>
    </w:p>
    <w:p>
      <w:pPr>
        <w:numPr>
          <w:ilvl w:val="0"/>
          <w:numId w:val="1001"/>
        </w:numPr>
      </w:pPr>
      <w:r>
        <w:t xml:space="preserve">lee2019caseinkinase1γ1and pages 1-2</w:t>
      </w:r>
      <w:r>
        <w:br/>
      </w:r>
    </w:p>
    <w:p>
      <w:pPr>
        <w:numPr>
          <w:ilvl w:val="0"/>
          <w:numId w:val="1001"/>
        </w:numPr>
      </w:pPr>
      <w:r>
        <w:t xml:space="preserve">yin2006dysbindinstructuralhomologue pages 10-10</w:t>
      </w:r>
    </w:p>
    <w:p>
      <w:pPr>
        <w:pStyle w:val="FirstParagraph"/>
      </w:pPr>
      <w:r>
        <w:t xml:space="preserve">References</w:t>
      </w:r>
    </w:p>
    <w:p>
      <w:pPr>
        <w:numPr>
          <w:ilvl w:val="0"/>
          <w:numId w:val="1002"/>
        </w:numPr>
      </w:pPr>
      <w:r>
        <w:t xml:space="preserve">(knippschild2014theck1family pages 1-2): Uwe Knippschild, Marc KrÃ¼ger, Julia Richter, Pengfei Xu, Balbina GarcÃ</w:t>
      </w:r>
      <w:r>
        <w:softHyphen/>
      </w:r>
      <w:r>
        <w:t xml:space="preserve">a-Reyes, Christian Peifer, Jakob Halekotte, Vasiliy Bakulev, and Joachim Bischof. The ck1 family: contribution to cellular stress response and its role in carcinogenesis. Frontiers in Oncology, May 2014. URL: https://doi.org/10.3389/fonc.2014.00096, doi:10.3389/fonc.2014.00096. This article has 311 citations and is from a peer-reviewed journal.</w:t>
      </w:r>
    </w:p>
    <w:p>
      <w:pPr>
        <w:numPr>
          <w:ilvl w:val="0"/>
          <w:numId w:val="1002"/>
        </w:numPr>
      </w:pPr>
      <w:r>
        <w:t xml:space="preserve">(cozza2016caseinkinasesas pages 16-16):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(cozza2016caseinkinasesas pages 21-21):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(cozza2016caseinkinasesas pages 8-10):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(knippschild2014theck1family pages 2-3): Uwe Knippschild, Marc KrÃ¼ger, Julia Richter, Pengfei Xu, Balbina GarcÃ</w:t>
      </w:r>
      <w:r>
        <w:softHyphen/>
      </w:r>
      <w:r>
        <w:t xml:space="preserve">a-Reyes, Christian Peifer, Jakob Halekotte, Vasiliy Bakulev, and Joachim Bischof. The ck1 family: contribution to cellular stress response and its role in carcinogenesis. Frontiers in Oncology, May 2014. URL: https://doi.org/10.3389/fonc.2014.00096, doi:10.3389/fonc.2014.00096. This article has 311 citations and is from a peer-reviewed journal.</w:t>
      </w:r>
    </w:p>
    <w:p>
      <w:pPr>
        <w:numPr>
          <w:ilvl w:val="0"/>
          <w:numId w:val="1002"/>
        </w:numPr>
      </w:pPr>
      <w:r>
        <w:t xml:space="preserve">(knippschild2014theck1family pages 3-5): Uwe Knippschild, Marc KrÃ¼ger, Julia Richter, Pengfei Xu, Balbina GarcÃ</w:t>
      </w:r>
      <w:r>
        <w:softHyphen/>
      </w:r>
      <w:r>
        <w:t xml:space="preserve">a-Reyes, Christian Peifer, Jakob Halekotte, Vasiliy Bakulev, and Joachim Bischof. The ck1 family: contribution to cellular stress response and its role in carcinogenesis. Frontiers in Oncology, May 2014. URL: https://doi.org/10.3389/fonc.2014.00096, doi:10.3389/fonc.2014.00096. This article has 311 citations and is from a peer-reviewed journal.</w:t>
      </w:r>
    </w:p>
    <w:p>
      <w:pPr>
        <w:numPr>
          <w:ilvl w:val="0"/>
          <w:numId w:val="1002"/>
        </w:numPr>
      </w:pPr>
      <w:r>
        <w:t xml:space="preserve">(kusuda2000cloningexpressionanalysis pages 4-5): J. Kusuda, M. Hirai, R. Tanuma, and K. Hashimoto. Cloning, expression analysis and chromosome mapping of human casein kinase 1 γ1 (csnk1g1): identification of two types of cdna encoding the kinase protein associated with heterologous carboxy-terminal sequences. Cytogenetic and Genome Research, 90:298-302, Dec 2000. URL: https://doi.org/10.1159/000056792, doi:10.1159/000056792. This article has 20 citations and is from a peer-reviewed journal.</w:t>
      </w:r>
    </w:p>
    <w:p>
      <w:pPr>
        <w:numPr>
          <w:ilvl w:val="0"/>
          <w:numId w:val="1002"/>
        </w:numPr>
      </w:pPr>
      <w:r>
        <w:t xml:space="preserve">(mashhoon2000crystalstructureof pages 1-1): Neda Mashhoon, Anthony J. DeMaggio, Valentina Tereshko, Stephen C. Bergmeier, Martin Egli, Merl F. Hoekstra, and Jeff Kuret. Crystal structure of a conformation-selective casein kinase-1 inhibitor*. The Journal of Biological Chemistry, 275:20052-20060, Jun 2000. URL: https://doi.org/10.1074/jbc.m001713200, doi:10.1074/jbc.m001713200. This article has 188 citations.</w:t>
      </w:r>
    </w:p>
    <w:p>
      <w:pPr>
        <w:numPr>
          <w:ilvl w:val="0"/>
          <w:numId w:val="1002"/>
        </w:numPr>
      </w:pPr>
      <w:r>
        <w:t xml:space="preserve">(schittek2014biologicalfunctionsof pages 1-2): Birgit Schittek and Tobias Sinnberg. Biological functions of casein kinase 1 isoforms and putative roles in tumorigenesis. Molecular Cancer, Oct 2014. URL: https://doi.org/10.1186/1476-4598-13-231, doi:10.1186/1476-4598-13-231. This article has 291 citations and is from a highest quality peer-reviewed journal.</w:t>
      </w:r>
    </w:p>
    <w:p>
      <w:pPr>
        <w:numPr>
          <w:ilvl w:val="0"/>
          <w:numId w:val="1002"/>
        </w:numPr>
      </w:pPr>
      <w:r>
        <w:t xml:space="preserve">(schittek2014biologicalfunctionsof pages 2-4): Birgit Schittek and Tobias Sinnberg. Biological functions of casein kinase 1 isoforms and putative roles in tumorigenesis. Molecular Cancer, Oct 2014. URL: https://doi.org/10.1186/1476-4598-13-231, doi:10.1186/1476-4598-13-231. This article has 291 citations and is from a highest quality peer-reviewed journal.</w:t>
      </w:r>
    </w:p>
    <w:p>
      <w:pPr>
        <w:numPr>
          <w:ilvl w:val="0"/>
          <w:numId w:val="1002"/>
        </w:numPr>
      </w:pPr>
      <w:r>
        <w:t xml:space="preserve">(xu2019structureregulationand pages 37-39):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(baier2022ck2andprotein pages 10-13): Andrea Baier and Ryszard Szyszka. Ck2 and protein kinases of the ck1 superfamily as targets for neurodegenerative disorders. Frontiers in Molecular Biosciences, Oct 2022. URL: https://doi.org/10.3389/fmolb.2022.916063, doi:10.3389/fmolb.2022.916063. This article has 14 citations and is from a peer-reviewed journal.</w:t>
      </w:r>
    </w:p>
    <w:p>
      <w:pPr>
        <w:numPr>
          <w:ilvl w:val="0"/>
          <w:numId w:val="1002"/>
        </w:numPr>
      </w:pPr>
      <w:r>
        <w:t xml:space="preserve">(cozza2016caseinkinasesas pages 16-17):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(cozza2016caseinkinasesas pages 3-4):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(francisco2022caseinkinase1 pages 1-2): Joel C. Francisco and David M. Virshup. Casein kinase 1 and human disease: insights from the circadian phosphoswitch. Frontiers in Molecular Biosciences, Jun 2022. URL: https://doi.org/10.3389/fmolb.2022.911764, doi:10.3389/fmolb.2022.911764. This article has 16 citations and is from a peer-reviewed journal.</w:t>
      </w:r>
    </w:p>
    <w:p>
      <w:pPr>
        <w:numPr>
          <w:ilvl w:val="0"/>
          <w:numId w:val="1002"/>
        </w:numPr>
      </w:pPr>
      <w:r>
        <w:t xml:space="preserve">(knippschild2014theck1family pages 21-22): Uwe Knippschild, Marc KrÃ¼ger, Julia Richter, Pengfei Xu, Balbina GarcÃ</w:t>
      </w:r>
      <w:r>
        <w:softHyphen/>
      </w:r>
      <w:r>
        <w:t xml:space="preserve">a-Reyes, Christian Peifer, Jakob Halekotte, Vasiliy Bakulev, and Joachim Bischof. The ck1 family: contribution to cellular stress response and its role in carcinogenesis. Frontiers in Oncology, May 2014. URL: https://doi.org/10.3389/fonc.2014.00096, doi:10.3389/fonc.2014.00096. This article has 311 citations and is from a peer-reviewed journal.</w:t>
      </w:r>
    </w:p>
    <w:p>
      <w:pPr>
        <w:numPr>
          <w:ilvl w:val="0"/>
          <w:numId w:val="1002"/>
        </w:numPr>
      </w:pPr>
      <w:r>
        <w:t xml:space="preserve">(lee2019caseinkinase1γ1and pages 1-2): Song-Yi Lee, Hyunjoo Kim, Cathena Meiling Li, Jaemin Kang, Ayaz Najafov, Muhah Jung, Soosung Kang, Shaomeng Wang, Junying Yuan, and Yong-Keun Jung. Casein kinase-1γ1 and 3 stimulate tumor necrosis factor-induced necroptosis through ripk3. Cell Death &amp; Disease, Dec 2019. URL: https://doi.org/10.1038/s41419-019-2146-4, doi:10.1038/s41419-019-2146-4. This article has 33 citations.</w:t>
      </w:r>
    </w:p>
    <w:p>
      <w:pPr>
        <w:numPr>
          <w:ilvl w:val="0"/>
          <w:numId w:val="1002"/>
        </w:numPr>
      </w:pPr>
      <w:r>
        <w:t xml:space="preserve">(xu2019structureregulationand pages 45-47):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51-52):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52-53):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9-11):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(yin2006dysbindinstructuralhomologue pages 10-10): Haishan Yin, Kelly A. Laguna, Guibin Li, and Jeff Kuret. Dysbindin structural homologue ck1bp is an isoform-selective binding partner of human casein kinase-1. Biochemistry, 45:5297-5308, Mar 2006. URL: https://doi.org/10.1021/bi052354e, doi:10.1021/bi052354e. This article has 34 citations and is from a peer-reviewed journal.</w:t>
      </w:r>
    </w:p>
    <w:p>
      <w:pPr>
        <w:numPr>
          <w:ilvl w:val="0"/>
          <w:numId w:val="1002"/>
        </w:numPr>
      </w:pPr>
      <w:r>
        <w:t xml:space="preserve">(francisco2022caseinkinase1 pages 2-3): Joel C. Francisco and David M. Virshup. Casein kinase 1 and human disease: insights from the circadian phosphoswitch. Frontiers in Molecular Biosciences, Jun 2022. URL: https://doi.org/10.3389/fmolb.2022.911764, doi:10.3389/fmolb.2022.911764. This article has 16 citations and is from a peer-reviewed journal.</w:t>
      </w:r>
    </w:p>
    <w:p>
      <w:pPr>
        <w:numPr>
          <w:ilvl w:val="0"/>
          <w:numId w:val="1002"/>
        </w:numPr>
      </w:pPr>
      <w:r>
        <w:t xml:space="preserve">(knippschild2014theck1family pages 31-31): Uwe Knippschild, Marc KrÃ¼ger, Julia Richter, Pengfei Xu, Balbina GarcÃ</w:t>
      </w:r>
      <w:r>
        <w:softHyphen/>
      </w:r>
      <w:r>
        <w:t xml:space="preserve">a-Reyes, Christian Peifer, Jakob Halekotte, Vasiliy Bakulev, and Joachim Bischof. The ck1 family: contribution to cellular stress response and its role in carcinogenesis. Frontiers in Oncology, May 2014. URL: https://doi.org/10.3389/fonc.2014.00096, doi:10.3389/fonc.2014.00096. This article has 311 citations and is from a peer-reviewed journal.</w:t>
      </w:r>
    </w:p>
    <w:p>
      <w:pPr>
        <w:numPr>
          <w:ilvl w:val="0"/>
          <w:numId w:val="1002"/>
        </w:numPr>
      </w:pPr>
      <w:r>
        <w:t xml:space="preserve">(schittek2014biologicalfunctionsof pages 12-13): Birgit Schittek and Tobias Sinnberg. Biological functions of casein kinase 1 isoforms and putative roles in tumorigenesis. Molecular Cancer, Oct 2014. URL: https://doi.org/10.1186/1476-4598-13-231, doi:10.1186/1476-4598-13-231. This article has 291 citations and is from a highest quality peer-reviewed journal.</w:t>
      </w:r>
    </w:p>
    <w:p>
      <w:pPr>
        <w:numPr>
          <w:ilvl w:val="0"/>
          <w:numId w:val="1002"/>
        </w:numPr>
      </w:pPr>
      <w:r>
        <w:t xml:space="preserve">(xu2019structureregulationand pages 22-24):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39-40):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4-6):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(baier2022ck2andprotein pages 8-10): Andrea Baier and Ryszard Szyszka. Ck2 and protein kinases of the ck1 superfamily as targets for neurodegenerative disorders. Frontiers in Molecular Biosciences, Oct 2022. URL: https://doi.org/10.3389/fmolb.2022.916063, doi:10.3389/fmolb.2022.916063. This article has 14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2025-06-18T18:52:19Z</dcterms:created>
  <dcterms:modified xsi:type="dcterms:W3CDTF">2025-06-18T18:52:19Z</dcterms:modified>
</cp:coreProperties>
</file>

<file path=docProps/custom.xml><?xml version="1.0" encoding="utf-8"?>
<Properties xmlns="http://schemas.openxmlformats.org/officeDocument/2006/custom-properties" xmlns:vt="http://schemas.openxmlformats.org/officeDocument/2006/docPropsVTypes"/>
</file>