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DSTYK (Dual serine/threonine and tyrosine protein kinase), also known as Dusty protein kinase, RIPK5, SgK496, and KIAA0472, is a member of the kinase superfamily that displays an evolutionarily conserved catalytic domain across metazoans. Comparative studies place DSTYK apart from the canonical RIP kinase subfamily (RIPK1–5) and indicate that, in phylogenetic analyses, DSTYK clusters more closely with certain IRAK kinases than with the classical members of the RIPK family, underscoring its distinct evolutionary trajectory (lv2022comparativeandevolutionary pages 4-6, lv2022comparativeandevolutionary pages 9-10). Orthologs of DSTYK have been identified in mouse, zebrafish, and human, with genetic studies documenting its role in kidney and neural development, which suggests that its functional conservation extends across vertebrates (sannacherchi2013mutationsindstyk pages 1-2, sun2020dstykmutationleads pages 1-2). The presence of DSTYK mutations in diverse populations, including Middle Eastern families with dominant urinary tract malformations and recessive forms associated with hereditary spastic paraplegia, further supports its evolutionary conservation and biological importance in developmental processes (sannacherchi2013mutationsindstyk pages 1-2, liu…Unknownyearajhgtheamerican pages 5-8). Together, these observations suggest that DSTYK represents an ancient and conserved kinase entity, distinguished by its dual-specificity activity and specialized roles in organogenesis and cellular survival signaling (lv2022comparativeandevolutionary pages 20-23).</w:t>
      </w:r>
    </w:p>
    <w:p>
      <w:pPr>
        <w:numPr>
          <w:ilvl w:val="0"/>
          <w:numId w:val="1001"/>
        </w:numPr>
      </w:pPr>
      <w:r>
        <w:t xml:space="preserve">Reaction Catalyzed</w:t>
      </w:r>
      <w:r>
        <w:br/>
      </w:r>
      <w:r>
        <w:t xml:space="preserve">DSTYK catalyzes the transfer of a phosphate group from ATP to target proteins that contain serine, threonine, or tyrosine residues. The chemical reaction can be represented as follows: ATP + [protein] – (L-serine/threonine/tyrosine) → ADP + [protein] – (L-serine/threonine/tyrosine)-phosphate + H⁺. This canonical phosphorylation reaction underlies DSTYK’s role as a dual-specificity kinase, an activity that allows it to modulate downstream signaling events, including the positive regulation of ERK phosphorylation in response to fibroblast growth factor (FGF) receptor activation (liu…Unknownyearajhgtheamerican pages 8-11).</w:t>
      </w:r>
    </w:p>
    <w:p>
      <w:pPr>
        <w:numPr>
          <w:ilvl w:val="0"/>
          <w:numId w:val="1001"/>
        </w:numPr>
      </w:pPr>
      <w:r>
        <w:t xml:space="preserve">Cofactor Requirements</w:t>
      </w:r>
      <w:r>
        <w:br/>
      </w:r>
      <w:r>
        <w:t xml:space="preserve">As with many protein kinases, DSTYK is presumed to require divalent metal ions as a cofactor, with Mg²⁺ being critical for optimal catalytic activity. This cation facilitates the coordination of ATP within the catalytic site, thereby enabling efficient phosphate transfer to substrate proteins. Although specific experimental determinations for DSTYK’s cofactor use are not detailed in the excerpts provided, the requirement of Mg²⁺ is consistent with the established biochemical properties of protein kinases in general (liu…Unknownyearajhgtheamerican pages 8-11).</w:t>
      </w:r>
    </w:p>
    <w:p>
      <w:pPr>
        <w:numPr>
          <w:ilvl w:val="0"/>
          <w:numId w:val="1001"/>
        </w:numPr>
      </w:pPr>
      <w:r>
        <w:t xml:space="preserve">Substrate Specificity</w:t>
      </w:r>
      <w:r>
        <w:br/>
      </w:r>
      <w:r>
        <w:t xml:space="preserve">DSTYK is characterized as a dual-specificity kinase capable of phosphorylating serine, threonine, and tyrosine residues on substrate proteins. Its role as a positive regulator of ERK phosphorylation downstream of FGF-receptor activation implies that it may target components of the MAPK/ERK pathway, although a definitive consensus substrate motif for DSTYK has not yet been comprehensively delineated in the literature. In studies of related cellular phenotypes, such as altered apoptotic responses in dermal cells following UV irradiation, DSTYK’s substrate specificity is indirectly inferred by its ability to modulate caspase-dependent cell death mechanisms (liu…Unknownyearajhgtheamerican pages 16-23, liu…Unknownyearajhgtheamerican pages 5-8). Despite the use of advanced kinome profiling approaches for other serine/threonine kinases, a detailed atlas of consensus sequences for DSTYK remains to be established (liu…Unknownyearajhgtheamerican pages 8-11, sannacherchi2013mutationsindstyk pages 1-2).</w:t>
      </w:r>
    </w:p>
    <w:p>
      <w:pPr>
        <w:numPr>
          <w:ilvl w:val="0"/>
          <w:numId w:val="1001"/>
        </w:numPr>
      </w:pPr>
      <w:r>
        <w:t xml:space="preserve">Structure</w:t>
      </w:r>
      <w:r>
        <w:br/>
      </w:r>
      <w:r>
        <w:t xml:space="preserve">DSTYK exhibits a central kinase domain that is responsible for its catalytic activity, and its overall structure is predicted to conform to the typical bilobal architecture observed in protein kinases. The N-terminal lobe is generally composed of β-sheets and the C-terminal lobe predominantly of α-helices, with the intervening hinge region facilitating ATP binding. Key structural features expected to be present include a glycine-rich P-loop, a conserved catalytic lysine, the C-helix, the activation loop, and the catalytic loop—all of which are critical for substrate phosphorylation. In pathogenic mutations described in patients with dominant urinary tract malformations and hereditary spastic paraplegia, deletions affecting the terminal exons and adjacent regulatory regions of DSTYK have been documented, suggesting that the integrity of the kinase domain is essential for its proper function (sannacherchi2013mutationsindstyk pages 1-2, liu…Unknownyearajhgtheamerican pages 8-11). Although high-resolution crystal structures specific to DSTYK are not available in the provided literature, available information supports its classification as a dual-specificity kinase with a conserved catalytic fold estimated to be approximately 1323 amino acids in length (lv2022comparativeandevolutionary pages 9-10). In addition, proteomic analyses have identified multiple O-GlcNAc modification sites on DSTYK, which may influence its conformational dynamics and interactions with regulatory proteins (schwein2020theoglcnacmodification pages 25-26, schwein2020theoglcnacmodification pages 27-27).</w:t>
      </w:r>
    </w:p>
    <w:p>
      <w:pPr>
        <w:numPr>
          <w:ilvl w:val="0"/>
          <w:numId w:val="1001"/>
        </w:numPr>
      </w:pPr>
      <w:r>
        <w:t xml:space="preserve">Regulation</w:t>
      </w:r>
      <w:r>
        <w:br/>
      </w:r>
      <w:r>
        <w:t xml:space="preserve">Regulatory mechanisms governing DSTYK activity involve multiple levels of control, including post-translational modifications and transcriptional regulation. DSTYK is subject to O-GlcNAc modification at specific serine/threonine residues, as demonstrated by large-scale proteomic workflows; these modifications are known to affect the function of various kinases by altering their conformation and interactions (schwein2020theoglcnacmodification pages 25-26, schwein2020theoglcnacmodification pages 27-27). In addition, DSTYK function is modulated by alternative splicing and mutation-induced aberrant mRNA processing, with several splice-site and truncating mutations described in patients exhibiting congenital abnormalities of the kidney and urinary tract (sannacherchi2013mutationsindstyk pages 1-2, sannacherchi2013mutationsindstyk pages 2-4). These mutations lead to reduced protein levels and altered catalytic activity, thereby impairing downstream signaling. Furthermore, in dermal cell types, DSTYK plays a predominant role in suppressing caspase-dependent apoptosis in response to ultraviolet stress—a regulatory mechanism that is essential for maintaining cell survival under stress conditions (liu…Unknownyearajhgtheamerican pages 16-23, liu…Unknownyearajhgtheamerican pages 5-8). In the context of FGF signaling, DSTYK ensures proper ERK activation, integrating extracellular growth factor cues with intracellular phosphorylation cascades; however, precise details of the kinases or phosphatases that may act directly upstream or downstream in this regulatory network have not been fully elucidated in the available reports (liu…Unknownyearajhgtheamerican pages 8-11).</w:t>
      </w:r>
    </w:p>
    <w:p>
      <w:pPr>
        <w:numPr>
          <w:ilvl w:val="0"/>
          <w:numId w:val="1001"/>
        </w:numPr>
      </w:pPr>
      <w:r>
        <w:t xml:space="preserve">Function</w:t>
      </w:r>
      <w:r>
        <w:br/>
      </w:r>
      <w:r>
        <w:t xml:space="preserve">DSTYK functions as a pivotal signaling molecule in diverse biological contexts by regulating phosphorylation cascades essential for cell survival, differentiation, and morphogenesis. It is well established that DSTYK acts as a positive regulator of ERK phosphorylation downstream of FGF-receptor activation, thereby contributing to growth factor–mediated signaling events that control proliferation and differentiation (liu…Unknownyearajhgtheamerican pages 8-11). In the skin, DSTYK is critical for suppressing caspase-dependent apoptosis following exposure to ultraviolet radiation, a function that is paramount for protecting dermal cells from UV-induced cell death (liu…Unknownyearajhgtheamerican pages 16-23, liu…Unknownyearajhgtheamerican pages 5-8). Genetic studies have linked DSTYK mutations to a spectrum of developmental disorders, including dominant urinary tract malformations—where aberrant DSTYK activity disrupts kidney and ureter morphogenesis—and hereditary spastic paraplegia type 23, which is characterized by pigmentary anomalies, neurological impairment, and ultrastructural cellular defects (sannacherchi2013mutationsindstyk pages 1-2, liu…Unknownyearajhgtheamerican pages 5-8). In addition, transcriptomic and phenotype analyses in zebrafish have demonstrated that DSTYK is crucial for proper notochord vacuole formation and vertebral development, as evidenced by defective extracellular matrix deposition and vesicle trafficking in DSTYK mutant animals (sun2020dstykmutationleads pages 3-4, sun2020dstykmutationleads pages 5-7). Beyond developmental roles, recent studies in colorectal cancer have shown that DSTYK expression correlates with elevated TGF-β levels and enhanced epithelial–mesenchymal transition (EMT), contributing to chemoresistance and increased metastatic potential in cancer cells (singha2023unlockingthepotential pages 10-11). Expression profiling further indicates that DSTYK is present in a wide variety of tissues, with particularly high expression observed in the spinal cord, pineal gland, and skin, consistent with its multifaceted roles in both developmental and stress-responsive processes (liu…Unknownyearajhgtheamerican pages 8-11).</w:t>
      </w:r>
    </w:p>
    <w:p>
      <w:pPr>
        <w:numPr>
          <w:ilvl w:val="0"/>
          <w:numId w:val="1001"/>
        </w:numPr>
      </w:pPr>
      <w:r>
        <w:t xml:space="preserve">Other Comments</w:t>
      </w:r>
      <w:r>
        <w:br/>
      </w:r>
      <w:r>
        <w:t xml:space="preserve">DSTYK has emerged as a promising target for therapeutic intervention in multiple pathological contexts owing to its involvement in critical signaling pathways. In the realm of developmental disorders, DSTYK mutations have been implicated in congenital anomalies of the kidney and urinary tract (CAKUT) as well as in hereditary spastic paraplegia, with studies noting a founder mutation effect in some Middle Eastern populations (sannacherchi2013mutationsindstyk pages 1-2, sannacherchi2013mutationsindstyk pages 4-5). In oncology, aberrant DSTYK activity has been associated with colorectal cancer metastasis, where its overexpression in metastatic lesions points to a role in TGF-β–induced EMT and chemoresistance (singha2023unlockingthepotential pages 10-11). Moreover, DSTYK has been identified within the neural kinome as a genetically implicated risk factor for Parkinson’s disease, and publication metrics underscore its status as an understudied kinase with potential relevance in neurodegenerative disorders (krahn2020definingtheneural pages 5-6, krahn2020definingtheneural pages 7-8). Although specific small molecule inhibitors targeting DSTYK have not yet been well characterized, its involvement in discrete signaling pathways and disease processes has generated interest in developing compounds that modulate its activity. Additionally, post-translational modifications such as O-GlcNAcylation may offer alternative avenues for regulating DSTYK function, as these modifications have been observed in proteomic studies and could influence its catalytic efficiency and protein–protein interactions (schwein2020theoglcnacmodification pages 25-26, schwein2020theoglcnacmodification pages 27-27).</w:t>
      </w:r>
    </w:p>
    <w:p>
      <w:pPr>
        <w:numPr>
          <w:ilvl w:val="0"/>
          <w:numId w:val="1001"/>
        </w:numPr>
      </w:pPr>
      <w:r>
        <w:t xml:space="preserve">References</w:t>
      </w:r>
      <w:r>
        <w:br/>
      </w:r>
    </w:p>
    <w:p>
      <w:pPr>
        <w:numPr>
          <w:ilvl w:val="0"/>
          <w:numId w:val="1001"/>
        </w:numPr>
      </w:pPr>
      <w:r>
        <w:t xml:space="preserve">liu…Unknownyearajhgtheamerican pages 16-23</w:t>
      </w:r>
      <w:r>
        <w:br/>
      </w:r>
    </w:p>
    <w:p>
      <w:pPr>
        <w:numPr>
          <w:ilvl w:val="0"/>
          <w:numId w:val="1001"/>
        </w:numPr>
      </w:pPr>
      <w:r>
        <w:t xml:space="preserve">liu…Unknownyearajhgtheamerican pages 5-8</w:t>
      </w:r>
      <w:r>
        <w:br/>
      </w:r>
    </w:p>
    <w:p>
      <w:pPr>
        <w:numPr>
          <w:ilvl w:val="0"/>
          <w:numId w:val="1001"/>
        </w:numPr>
      </w:pPr>
      <w:r>
        <w:t xml:space="preserve">liu…Unknownyearajhgtheamerican pages 8-11</w:t>
      </w:r>
      <w:r>
        <w:br/>
      </w:r>
    </w:p>
    <w:p>
      <w:pPr>
        <w:numPr>
          <w:ilvl w:val="0"/>
          <w:numId w:val="1001"/>
        </w:numPr>
      </w:pPr>
      <w:r>
        <w:t xml:space="preserve">sannacherchi2013mutationsindstyk pages 1-2</w:t>
      </w:r>
      <w:r>
        <w:br/>
      </w:r>
    </w:p>
    <w:p>
      <w:pPr>
        <w:numPr>
          <w:ilvl w:val="0"/>
          <w:numId w:val="1001"/>
        </w:numPr>
      </w:pPr>
      <w:r>
        <w:t xml:space="preserve">sannacherchi2013mutationsindstyk pages 4-5</w:t>
      </w:r>
      <w:r>
        <w:br/>
      </w:r>
    </w:p>
    <w:p>
      <w:pPr>
        <w:numPr>
          <w:ilvl w:val="0"/>
          <w:numId w:val="1001"/>
        </w:numPr>
      </w:pPr>
      <w:r>
        <w:t xml:space="preserve">sannacherchi2013mutationsindstyk pages 5-6</w:t>
      </w:r>
      <w:r>
        <w:br/>
      </w:r>
    </w:p>
    <w:p>
      <w:pPr>
        <w:numPr>
          <w:ilvl w:val="0"/>
          <w:numId w:val="1001"/>
        </w:numPr>
      </w:pPr>
      <w:r>
        <w:t xml:space="preserve">sun2020dstykmutationleads pages 1-2</w:t>
      </w:r>
      <w:r>
        <w:br/>
      </w:r>
    </w:p>
    <w:p>
      <w:pPr>
        <w:numPr>
          <w:ilvl w:val="0"/>
          <w:numId w:val="1001"/>
        </w:numPr>
      </w:pPr>
      <w:r>
        <w:t xml:space="preserve">sun2020dstykmutationleads pages 9-10</w:t>
      </w:r>
      <w:r>
        <w:br/>
      </w:r>
    </w:p>
    <w:p>
      <w:pPr>
        <w:numPr>
          <w:ilvl w:val="0"/>
          <w:numId w:val="1001"/>
        </w:numPr>
      </w:pPr>
      <w:r>
        <w:t xml:space="preserve">sun2020dstykmutationleads pages 10-11</w:t>
      </w:r>
      <w:r>
        <w:br/>
      </w:r>
    </w:p>
    <w:p>
      <w:pPr>
        <w:numPr>
          <w:ilvl w:val="0"/>
          <w:numId w:val="1001"/>
        </w:numPr>
      </w:pPr>
      <w:r>
        <w:t xml:space="preserve">vidic2021exomesequencingimplicates pages 2-4</w:t>
      </w:r>
      <w:r>
        <w:br/>
      </w:r>
    </w:p>
    <w:p>
      <w:pPr>
        <w:numPr>
          <w:ilvl w:val="0"/>
          <w:numId w:val="1001"/>
        </w:numPr>
      </w:pPr>
      <w:r>
        <w:t xml:space="preserve">vidic2021exomesequencingimplicates pages 5-6</w:t>
      </w:r>
      <w:r>
        <w:br/>
      </w:r>
    </w:p>
    <w:p>
      <w:pPr>
        <w:numPr>
          <w:ilvl w:val="0"/>
          <w:numId w:val="1001"/>
        </w:numPr>
      </w:pPr>
      <w:r>
        <w:t xml:space="preserve">lv2022comparativeandevolutionary pages 4-6</w:t>
      </w:r>
      <w:r>
        <w:br/>
      </w:r>
    </w:p>
    <w:p>
      <w:pPr>
        <w:numPr>
          <w:ilvl w:val="0"/>
          <w:numId w:val="1001"/>
        </w:numPr>
      </w:pPr>
      <w:r>
        <w:t xml:space="preserve">lv2022comparativeandevolutionary pages 6-7</w:t>
      </w:r>
      <w:r>
        <w:br/>
      </w:r>
    </w:p>
    <w:p>
      <w:pPr>
        <w:numPr>
          <w:ilvl w:val="0"/>
          <w:numId w:val="1001"/>
        </w:numPr>
      </w:pPr>
      <w:r>
        <w:t xml:space="preserve">lv2022comparativeandevolutionary pages 9-10</w:t>
      </w:r>
      <w:r>
        <w:br/>
      </w:r>
    </w:p>
    <w:p>
      <w:pPr>
        <w:numPr>
          <w:ilvl w:val="0"/>
          <w:numId w:val="1001"/>
        </w:numPr>
      </w:pPr>
      <w:r>
        <w:t xml:space="preserve">lv2022comparativeandevolutionary pages 17-20</w:t>
      </w:r>
      <w:r>
        <w:br/>
      </w:r>
    </w:p>
    <w:p>
      <w:pPr>
        <w:numPr>
          <w:ilvl w:val="0"/>
          <w:numId w:val="1001"/>
        </w:numPr>
      </w:pPr>
      <w:r>
        <w:t xml:space="preserve">lv2022comparativeandevolutionary pages 20-23</w:t>
      </w:r>
      <w:r>
        <w:br/>
      </w:r>
    </w:p>
    <w:p>
      <w:pPr>
        <w:numPr>
          <w:ilvl w:val="0"/>
          <w:numId w:val="1001"/>
        </w:numPr>
      </w:pPr>
      <w:r>
        <w:t xml:space="preserve">schwein2020theoglcnacmodification pages 25-26</w:t>
      </w:r>
      <w:r>
        <w:br/>
      </w:r>
    </w:p>
    <w:p>
      <w:pPr>
        <w:numPr>
          <w:ilvl w:val="0"/>
          <w:numId w:val="1001"/>
        </w:numPr>
      </w:pPr>
      <w:r>
        <w:t xml:space="preserve">schwein2020theoglcnacmodification pages 27-27</w:t>
      </w:r>
      <w:r>
        <w:br/>
      </w:r>
    </w:p>
    <w:p>
      <w:pPr>
        <w:numPr>
          <w:ilvl w:val="0"/>
          <w:numId w:val="1001"/>
        </w:numPr>
      </w:pPr>
      <w:r>
        <w:t xml:space="preserve">singha2023unlockingthepotential pages 10-11</w:t>
      </w:r>
      <w:r>
        <w:br/>
      </w:r>
    </w:p>
    <w:p>
      <w:pPr>
        <w:numPr>
          <w:ilvl w:val="0"/>
          <w:numId w:val="1001"/>
        </w:numPr>
      </w:pPr>
      <w:r>
        <w:t xml:space="preserve">krahn2020definingtheneural pages 5-6</w:t>
      </w:r>
      <w:r>
        <w:br/>
      </w:r>
    </w:p>
    <w:p>
      <w:pPr>
        <w:numPr>
          <w:ilvl w:val="0"/>
          <w:numId w:val="1001"/>
        </w:numPr>
      </w:pPr>
      <w:r>
        <w:t xml:space="preserve">krahn2020definingtheneural pages 7-8</w:t>
      </w:r>
    </w:p>
    <w:p>
      <w:pPr>
        <w:pStyle w:val="FirstParagraph"/>
      </w:pPr>
      <w:r>
        <w:t xml:space="preserve">References</w:t>
      </w:r>
    </w:p>
    <w:p>
      <w:pPr>
        <w:numPr>
          <w:ilvl w:val="0"/>
          <w:numId w:val="1002"/>
        </w:numPr>
      </w:pPr>
      <w:r>
        <w:t xml:space="preserve">(liu…Unknownyearajhgtheamerican pages 16-23): AJHG The American Journal of Human Genetics</w:t>
      </w:r>
    </w:p>
    <w:p>
      <w:pPr>
        <w:numPr>
          <w:ilvl w:val="0"/>
          <w:numId w:val="1002"/>
        </w:numPr>
      </w:pPr>
      <w:r>
        <w:t xml:space="preserve">(liu…Unknownyearajhgtheamerican pages 5-8): AJHG The American Journal of Human Genetics</w:t>
      </w:r>
    </w:p>
    <w:p>
      <w:pPr>
        <w:numPr>
          <w:ilvl w:val="0"/>
          <w:numId w:val="1002"/>
        </w:numPr>
      </w:pPr>
      <w:r>
        <w:t xml:space="preserve">(liu…Unknownyearajhgtheamerican pages 8-11): AJHG The American Journal of Human Genetics</w:t>
      </w:r>
    </w:p>
    <w:p>
      <w:pPr>
        <w:numPr>
          <w:ilvl w:val="0"/>
          <w:numId w:val="1002"/>
        </w:numPr>
      </w:pPr>
      <w:r>
        <w:t xml:space="preserve">(sannacherchi2013mutationsindstyk pages 1-2): S. Sanna-Cherchi, R. Sampogna, N. Papeta, K. E. Burgess, S. Nees, Brittany J. Perry, Murim Choi, M. Bodria, Yan Liu, P. Weng, V. Lozanovski, M. Verbitsky, Francesca Lugani, Roel Sterken, N. Paragas, G. Caridi, A. Carrea, M. Dagnino, A. Materna-Kiryluk, G. Santamaria, C. Murtas, N. Ristoska-Bojkovska, C. Izzi, Nilgun Kacak, Beatrice Bianco, Stefania Giberti, M. Gigante, G. Piaggio, L. Gesualdo, D. Vukic, K. Vukojević, M. Saraga-Babic, M. Saraga, Z. Gucev, L. Allegri, A. Latos-Bieleńska, D. Casu, M. State, F. Scolari, R. Ravazzolo, K. Kiryluk, Q. Al-Awqati, V. D’Agati, I. Drummond, V. Tasic, R. Lifton, G. Ghiggeri, and A. Gharavi. Mutations in</w:t>
      </w:r>
      <w:r>
        <w:t xml:space="preserve"> </w:t>
      </w:r>
      <w:r>
        <w:t xml:space="preserve">dstyk</w:t>
      </w:r>
      <w:r>
        <w:t xml:space="preserve"> </w:t>
      </w:r>
      <w:r>
        <w:t xml:space="preserve">and dominant urinary tract malformations. New England Journal of Medicine, 369:621-629, Aug 2013. URL: https://doi.org/10.1056/nejmoa1214479, doi:10.1056/nejmoa1214479. This article has 156 citations and is from a highest quality peer-reviewed journal.</w:t>
      </w:r>
    </w:p>
    <w:p>
      <w:pPr>
        <w:numPr>
          <w:ilvl w:val="0"/>
          <w:numId w:val="1002"/>
        </w:numPr>
      </w:pPr>
      <w:r>
        <w:t xml:space="preserve">(sannacherchi2013mutationsindstyk pages 4-5): S. Sanna-Cherchi, R. Sampogna, N. Papeta, K. E. Burgess, S. Nees, Brittany J. Perry, Murim Choi, M. Bodria, Yan Liu, P. Weng, V. Lozanovski, M. Verbitsky, Francesca Lugani, Roel Sterken, N. Paragas, G. Caridi, A. Carrea, M. Dagnino, A. Materna-Kiryluk, G. Santamaria, C. Murtas, N. Ristoska-Bojkovska, C. Izzi, Nilgun Kacak, Beatrice Bianco, Stefania Giberti, M. Gigante, G. Piaggio, L. Gesualdo, D. Vukic, K. Vukojević, M. Saraga-Babic, M. Saraga, Z. Gucev, L. Allegri, A. Latos-Bieleńska, D. Casu, M. State, F. Scolari, R. Ravazzolo, K. Kiryluk, Q. Al-Awqati, V. D’Agati, I. Drummond, V. Tasic, R. Lifton, G. Ghiggeri, and A. Gharavi. Mutations in</w:t>
      </w:r>
      <w:r>
        <w:t xml:space="preserve"> </w:t>
      </w:r>
      <w:r>
        <w:t xml:space="preserve">dstyk</w:t>
      </w:r>
      <w:r>
        <w:t xml:space="preserve"> </w:t>
      </w:r>
      <w:r>
        <w:t xml:space="preserve">and dominant urinary tract malformations. New England Journal of Medicine, 369:621-629, Aug 2013. URL: https://doi.org/10.1056/nejmoa1214479, doi:10.1056/nejmoa1214479. This article has 156 citations and is from a highest quality peer-reviewed journal.</w:t>
      </w:r>
    </w:p>
    <w:p>
      <w:pPr>
        <w:numPr>
          <w:ilvl w:val="0"/>
          <w:numId w:val="1002"/>
        </w:numPr>
      </w:pPr>
      <w:r>
        <w:t xml:space="preserve">(sannacherchi2013mutationsindstyk pages 5-6): S. Sanna-Cherchi, R. Sampogna, N. Papeta, K. E. Burgess, S. Nees, Brittany J. Perry, Murim Choi, M. Bodria, Yan Liu, P. Weng, V. Lozanovski, M. Verbitsky, Francesca Lugani, Roel Sterken, N. Paragas, G. Caridi, A. Carrea, M. Dagnino, A. Materna-Kiryluk, G. Santamaria, C. Murtas, N. Ristoska-Bojkovska, C. Izzi, Nilgun Kacak, Beatrice Bianco, Stefania Giberti, M. Gigante, G. Piaggio, L. Gesualdo, D. Vukic, K. Vukojević, M. Saraga-Babic, M. Saraga, Z. Gucev, L. Allegri, A. Latos-Bieleńska, D. Casu, M. State, F. Scolari, R. Ravazzolo, K. Kiryluk, Q. Al-Awqati, V. D’Agati, I. Drummond, V. Tasic, R. Lifton, G. Ghiggeri, and A. Gharavi. Mutations in</w:t>
      </w:r>
      <w:r>
        <w:t xml:space="preserve"> </w:t>
      </w:r>
      <w:r>
        <w:t xml:space="preserve">dstyk</w:t>
      </w:r>
      <w:r>
        <w:t xml:space="preserve"> </w:t>
      </w:r>
      <w:r>
        <w:t xml:space="preserve">and dominant urinary tract malformations. New England Journal of Medicine, 369:621-629, Aug 2013. URL: https://doi.org/10.1056/nejmoa1214479, doi:10.1056/nejmoa1214479. This article has 156 citations and is from a highest quality peer-reviewed journal.</w:t>
      </w:r>
    </w:p>
    <w:p>
      <w:pPr>
        <w:numPr>
          <w:ilvl w:val="0"/>
          <w:numId w:val="1002"/>
        </w:numPr>
      </w:pPr>
      <w:r>
        <w:t xml:space="preserve">(sun2020dstykmutationleads pages 1-2):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45 citations and is from a highest quality peer-reviewed journal.</w:t>
      </w:r>
    </w:p>
    <w:p>
      <w:pPr>
        <w:numPr>
          <w:ilvl w:val="0"/>
          <w:numId w:val="1002"/>
        </w:numPr>
      </w:pPr>
      <w:r>
        <w:t xml:space="preserve">(sun2020dstykmutationleads pages 10-11):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45 citations and is from a highest quality peer-reviewed journal.</w:t>
      </w:r>
    </w:p>
    <w:p>
      <w:pPr>
        <w:numPr>
          <w:ilvl w:val="0"/>
          <w:numId w:val="1002"/>
        </w:numPr>
      </w:pPr>
      <w:r>
        <w:t xml:space="preserve">(sun2020dstykmutationleads pages 9-10):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45 citations and is from a highest quality peer-reviewed journal.</w:t>
      </w:r>
    </w:p>
    <w:p>
      <w:pPr>
        <w:numPr>
          <w:ilvl w:val="0"/>
          <w:numId w:val="1002"/>
        </w:numPr>
      </w:pPr>
      <w:r>
        <w:t xml:space="preserve">(vidic2021exomesequencingimplicates pages 2-4): Clara Vidic, Marcin Zaniew, Szymon Jurga, Holger Thiele, Heiko Reutter, and Alina C. Hilger. Exome sequencing implicates a novel heterozygous missense variant in dstyk in autosomal dominant lower urinary tract dysfunction and mild hereditary spastic paraparesis. Molecular and Cellular Pediatrics, Oct 2021. URL: https://doi.org/10.1186/s40348-021-00122-y, doi:10.1186/s40348-021-00122-y. This article has 2 citations.</w:t>
      </w:r>
    </w:p>
    <w:p>
      <w:pPr>
        <w:numPr>
          <w:ilvl w:val="0"/>
          <w:numId w:val="1002"/>
        </w:numPr>
      </w:pPr>
      <w:r>
        <w:t xml:space="preserve">(vidic2021exomesequencingimplicates pages 5-6): Clara Vidic, Marcin Zaniew, Szymon Jurga, Holger Thiele, Heiko Reutter, and Alina C. Hilger. Exome sequencing implicates a novel heterozygous missense variant in dstyk in autosomal dominant lower urinary tract dysfunction and mild hereditary spastic paraparesis. Molecular and Cellular Pediatrics, Oct 2021. URL: https://doi.org/10.1186/s40348-021-00122-y, doi:10.1186/s40348-021-00122-y. This article has 2 citations.</w:t>
      </w:r>
    </w:p>
    <w:p>
      <w:pPr>
        <w:numPr>
          <w:ilvl w:val="0"/>
          <w:numId w:val="1002"/>
        </w:numPr>
      </w:pPr>
      <w:r>
        <w:t xml:space="preserve">(lv2022comparativeandevolutionary pages 4-6):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6-7):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(sannacherchi2013mutationsindstyk pages 2-4): S. Sanna-Cherchi, R. Sampogna, N. Papeta, K. E. Burgess, S. Nees, Brittany J. Perry, Murim Choi, M. Bodria, Yan Liu, P. Weng, V. Lozanovski, M. Verbitsky, Francesca Lugani, Roel Sterken, N. Paragas, G. Caridi, A. Carrea, M. Dagnino, A. Materna-Kiryluk, G. Santamaria, C. Murtas, N. Ristoska-Bojkovska, C. Izzi, Nilgun Kacak, Beatrice Bianco, Stefania Giberti, M. Gigante, G. Piaggio, L. Gesualdo, D. Vukic, K. Vukojević, M. Saraga-Babic, M. Saraga, Z. Gucev, L. Allegri, A. Latos-Bieleńska, D. Casu, M. State, F. Scolari, R. Ravazzolo, K. Kiryluk, Q. Al-Awqati, V. D’Agati, I. Drummond, V. Tasic, R. Lifton, G. Ghiggeri, and A. Gharavi. Mutations in</w:t>
      </w:r>
      <w:r>
        <w:t xml:space="preserve"> </w:t>
      </w:r>
      <w:r>
        <w:t xml:space="preserve">dstyk</w:t>
      </w:r>
      <w:r>
        <w:t xml:space="preserve"> </w:t>
      </w:r>
      <w:r>
        <w:t xml:space="preserve">and dominant urinary tract malformations. New England Journal of Medicine, 369:621-629, Aug 2013. URL: https://doi.org/10.1056/nejmoa1214479, doi:10.1056/nejmoa1214479. This article has 156 citations and is from a highest quality peer-reviewed journal.</w:t>
      </w:r>
    </w:p>
    <w:p>
      <w:pPr>
        <w:numPr>
          <w:ilvl w:val="0"/>
          <w:numId w:val="1002"/>
        </w:numPr>
      </w:pPr>
      <w:r>
        <w:t xml:space="preserve">(singha2023unlockingthepotential pages 10-11): Manali Singha, Limeng Pu, Gopal Srivastava, Xialong Ni, Brent A. Stanfield, Ifeanyi K. Uche, Paul J. F. Rider, Konstantin G. Kousoulas, J. Ramanujam, and Michal Brylinski. Unlocking the potential of kinase targets in cancer: insights from canceromicsnet, an ai-driven approach to drug response prediction in cancer. Cancers, 15:4050, Aug 2023. URL: https://doi.org/10.3390/cancers15164050, doi:10.3390/cancers15164050. This article has 19 citations and is from a peer-reviewed journal.</w:t>
      </w:r>
    </w:p>
    <w:p>
      <w:pPr>
        <w:numPr>
          <w:ilvl w:val="0"/>
          <w:numId w:val="1002"/>
        </w:numPr>
      </w:pPr>
      <w:r>
        <w:t xml:space="preserve">(sun2020dstykmutationleads pages 3-4):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45 citations and is from a highest quality peer-reviewed journal.</w:t>
      </w:r>
    </w:p>
    <w:p>
      <w:pPr>
        <w:numPr>
          <w:ilvl w:val="0"/>
          <w:numId w:val="1002"/>
        </w:numPr>
      </w:pPr>
      <w:r>
        <w:t xml:space="preserve">(sun2020dstykmutationleads pages 5-7): Xianding Sun, Yang Zhou, Ruobin Zhang, Zuqiang Wang, Meng Xu, Dali Zhang, Junlan Huang, Fengtao Luo, Fangfang Li, Zhenhong Ni, Siru Zhou, Hangang Chen, Shuai Chen, Liang Chen, Xiaolan Du, Bo Chen, Haiyang Huang, Peng Liu, Liangjun Yin, Juhui Qiu, Di Chen, Chuxia Deng, Yangli Xie, Lingfei Luo, and Lin Chen. Dstyk mutation leads to congenital scoliosis-like vertebral malformations in zebrafish via dysregulated mtorc1/tfeb pathway. Nature Communications, Jan 2020. URL: https://doi.org/10.1038/s41467-019-14169-z, doi:10.1038/s41467-019-14169-z. This article has 45 citations and is from a highest quality peer-reviewed journal.</w:t>
      </w:r>
    </w:p>
    <w:p>
      <w:pPr>
        <w:numPr>
          <w:ilvl w:val="0"/>
          <w:numId w:val="1002"/>
        </w:numPr>
      </w:pPr>
      <w:r>
        <w:t xml:space="preserve">(lv2022comparativeandevolutionary pages 17-20):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20-23):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(lv2022comparativeandevolutionary pages 9-10): Shangge Lv, Yu Jiang, Yuzheng Li, Rui-hua Huang, Lingyu Peng, Zhaoyin Ma, Nan Lu, Xiaoying Lin, and Jie Yan. Comparative and evolutionary analysis of rip kinases in immune responses. Frontiers in Genetics, Oct 2022. URL: https://doi.org/10.3389/fgene.2022.796291, doi:10.3389/fgene.2022.796291. This article has 7 citations and is from a peer-reviewed journal.</w:t>
      </w:r>
    </w:p>
    <w:p>
      <w:pPr>
        <w:numPr>
          <w:ilvl w:val="0"/>
          <w:numId w:val="1002"/>
        </w:numPr>
      </w:pPr>
      <w:r>
        <w:t xml:space="preserve">(schwein2020theoglcnacmodification pages 25-26):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2"/>
        </w:numPr>
      </w:pPr>
      <w:r>
        <w:t xml:space="preserve">(schwein2020theoglcnacmodification pages 27-27): Paul A. Schwein and Christina M. Woo. The o-glcnac modification on kinases. ACS Chemical Biology, 15:602-617, Mar 2020. URL: https://doi.org/10.1021/acschembio.9b01015, doi:10.1021/acschembio.9b01015. This article has 45 citations and is from a domain leading peer-reviewed journal.</w:t>
      </w:r>
    </w:p>
    <w:p>
      <w:pPr>
        <w:numPr>
          <w:ilvl w:val="0"/>
          <w:numId w:val="1002"/>
        </w:numPr>
      </w:pPr>
      <w:r>
        <w:t xml:space="preserve">(krahn2020definingtheneural pages 5-6): Andrea I. Krahn, Carrow Wells, David H. Drewry, Lenore K. Beitel, Thomas M. Durcan, and Alison D. Axtman. Defining the neural kinome: strategies and opportunities for small molecule drug discovery to target neurodegenerative diseases. ACS Chemical Neuroscience, 11:1871-1886, May 2020. URL: https://doi.org/10.1021/acschemneuro.0c00176, doi:10.1021/acschemneuro.0c00176. This article has 34 citations and is from a peer-reviewed journal.</w:t>
      </w:r>
    </w:p>
    <w:p>
      <w:pPr>
        <w:numPr>
          <w:ilvl w:val="0"/>
          <w:numId w:val="1002"/>
        </w:numPr>
      </w:pPr>
      <w:r>
        <w:t xml:space="preserve">(krahn2020definingtheneural pages 7-8): Andrea I. Krahn, Carrow Wells, David H. Drewry, Lenore K. Beitel, Thomas M. Durcan, and Alison D. Axtman. Defining the neural kinome: strategies and opportunities for small molecule drug discovery to target neurodegenerative diseases. ACS Chemical Neuroscience, 11:1871-1886, May 2020. URL: https://doi.org/10.1021/acschemneuro.0c00176, doi:10.1021/acschemneuro.0c00176.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