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EIF2AK1, commonly known as HRI, is a member of the eukaryotic initiation factor 2‐alpha kinase family that is evolutionarily conserved across diverse eukaryotic lineages, ranging from unicellular eukaryotes to higher vertebrates. Studies indicate that HRI is phylogenetically the second most widely distributed eIF2α kinase after GCN2, with well‐documented orthologs in various invertebrates such as insects, worms, bivalve mollusks, and even in unicellular eukaryotes like Schizosaccharomyces pombe, although it is absent in some organisms including Saccharomycotina fungi, Drosophilidae, and Caenorhabditis species (berlanga2016eif2αkinasesand pages 268-270). Comparative molecular evolutionary analyses further support an ancestral origin of HRI, suggesting that it initially evolved from a GCN2‐like kinase through gene duplication events which have subsequently given rise to other eIF2α kinases such as PERK and PKR (krishna2018molecularevolutionand pages 4-6, berlanga2016eif2αkinasesand pages 242-246). In vertebrates, HRI is particularly prominent in erythroid tissues where its presence is critical for the regulation of globin synthesis, and evidence of lineage‐specific gene loss and occasional duplications (for instance, the two copies observed in Schizosaccharomyces pombe) is consistent with its adaptation to various cellular milieus (berlanga2016eif2αkinasesand pages 242-246, rothenburg2016eif2α pages 14-16). HRI, as a conserved stress‐sensing kinase, represents a core element of the integrated stress response (ISR) that can be traced back to the last eukaryotic common ancestor, illustrating its fundamental role in translational control throughout evolution (krishna2018molecularevolutionand pages 1-2, berlanga2016eif2αkinasesand pages 268-270).</w:t>
      </w:r>
    </w:p>
    <w:p>
      <w:pPr>
        <w:numPr>
          <w:ilvl w:val="0"/>
          <w:numId w:val="1001"/>
        </w:numPr>
      </w:pPr>
      <w:r>
        <w:t xml:space="preserve">Reaction Catalyzed</w:t>
      </w:r>
      <w:r>
        <w:br/>
      </w:r>
      <w:r>
        <w:t xml:space="preserve">The catalytic activity of EIF2AK1 (HRI) is defined by its ability to transfer a phosphate group from ATP to the alpha subunit of eukaryotic initiation factor 2 (eIF2α), specifically targeting the conserved serine residue (Ser51 in mammals). In this ATP-dependent reaction, ATP and the substrate protein (eIF2α) yield ADP and phosphorylated eIF2α along with the release of a proton; this chemical modification converts eIF2α from a substrate of its guanine nucleotide exchange factor eIF2B into a potent inhibitor (berlanga2016eif2αkinasesand pages 262-265, taniuchi2016integratedstressresponse pages 1-2). This phosphorylation event results in a substantial attenuation of cap-dependent translation, thereby allowing the cell to selectively translate stress-responsive mRNAs necessary for adaptation to adverse conditions (berlanga2016eif2αkinasesand pages 270-273).</w:t>
      </w:r>
    </w:p>
    <w:p>
      <w:pPr>
        <w:numPr>
          <w:ilvl w:val="0"/>
          <w:numId w:val="1001"/>
        </w:numPr>
      </w:pPr>
      <w:r>
        <w:t xml:space="preserve">Cofactor Requirements</w:t>
      </w:r>
      <w:r>
        <w:br/>
      </w:r>
      <w:r>
        <w:t xml:space="preserve">The kinase activity of EIF2AK1 (HRI) is dependent on the binding of necessary cofactors. Like many serine/threonine kinases, its catalytic action requires the presence of divalent metal ions such as Mg²⁺, which serve as essential cofactors to facilitate ATP binding and proper positioning of the nucleotide for phosphoryl transfer (taniuchi2016integratedstressresponse pages 1-2, krishna2018molecularevolutionand pages 4-6). In addition, HRI is uniquely regulated by heme, which binds reversibly to two distinct regions of the protein – one located in the N-terminal regulatory domain and another within the kinase insertion region – thereby controlling its activity; heme binding under conditions of heme sufficiency keeps HRI in an inactive state, while heme deficiency triggers kinase activation through heme dissociation (berlanga2016eif2αkinasesand pages 251-254, taniuchi2016integratedstressresponse pages 1-2).</w:t>
      </w:r>
    </w:p>
    <w:p>
      <w:pPr>
        <w:numPr>
          <w:ilvl w:val="0"/>
          <w:numId w:val="1001"/>
        </w:numPr>
      </w:pPr>
      <w:r>
        <w:t xml:space="preserve">Substrate Specificity</w:t>
      </w:r>
      <w:r>
        <w:br/>
      </w:r>
      <w:r>
        <w:t xml:space="preserve">The substrate specificity of EIF2AK1 is highly focused on eIF2α, as it phosphorylates this protein specifically at a conserved serine residue (Ser51) which is critical for its function in translation initiation. HRI has evolved substrate-recognition motifs that ensure its catalytic domain engages effectively with eIF2α, thereby targeting the translation initiation machinery directly and converting eIF2α into a competitive inhibitor of its guanine nucleotide exchange factor eIF2B (berlanga2016eif2αkinasesand pages 262-265, berlanga2016eif2αkinasesand pages 270-273). Although comprehensive consensus sequence analysis of HRI substrate motifs is less detailed in the provided context compared to other kinases, the literature consistently documents that its high substrate specificity is key to the suppression of global protein synthesis while allowing the selective translation of specific mRNAs associated with stress adaptation (taniuchi2016integratedstressresponse pages 6-8, krishna2018molecularevolutionand pages 13-14).</w:t>
      </w:r>
    </w:p>
    <w:p>
      <w:pPr>
        <w:numPr>
          <w:ilvl w:val="0"/>
          <w:numId w:val="1001"/>
        </w:numPr>
      </w:pPr>
      <w:r>
        <w:t xml:space="preserve">Structure</w:t>
      </w:r>
      <w:r>
        <w:br/>
      </w:r>
      <w:r>
        <w:t xml:space="preserve">The structural organization of EIF2AK1 (HRI) follows the canonical fold of eukaryotic protein kinases, exhibiting a bilobal architecture that is common among kinases. The N-terminal lobe is typically composed predominantly of β-strands and is involved in ATP binding, while the larger C-terminal lobe is primarily helical and contributes to substrate recognition and catalytic efficiency (berlanga2016eif2αkinasesand pages 242-246, rothenburg2016eif2α pages 7-11). HRI contains a central kinase domain that is flanked by regulatory sequences, including an N-terminal heme-binding domain that is critical for sensing intracellular heme levels and a kinase insertion sequence that, although of variable sequence composition and largely unstructured, is essential for optimal kinase activity (berlanga2016eif2αkinasesand pages 251-254, augusto2015amembraneboundeif2 pages 1-2). The activation loop within the kinase domain is a key structural element where autophosphorylation occurs on a conserved threonine residue, which in turn stabilizes the active conformation of the enzyme and enables high affinity binding for its substrate eIF2α (berlanga2016eif2αkinasesand pages 260-262, rothenburg2016eif2α pages 7-11). In addition, structural studies have revealed that HRI dimerizes as part of its activation mechanism, a feature that it shares with other members of the eIF2α kinase family, thereby facilitating autophosphorylation and ensuring robust substrate phosphorylation during stress (taniuchi2016integratedstressresponse pages 6-8, edenius2018evolutionaryconservationand pages 46-48).</w:t>
      </w:r>
    </w:p>
    <w:p>
      <w:pPr>
        <w:numPr>
          <w:ilvl w:val="0"/>
          <w:numId w:val="1001"/>
        </w:numPr>
      </w:pPr>
      <w:r>
        <w:t xml:space="preserve">Regulation</w:t>
      </w:r>
      <w:r>
        <w:br/>
      </w:r>
      <w:r>
        <w:t xml:space="preserve">The regulation of HRI is tightly linked to cellular heme levels as well as additional stress signals such as oxidative stress, osmotic shock, mitochondrial dysfunction, and heat shock. Under conditions where heme is abundant, heme binds to specific regulatory domains within HRI – including an N-terminal motif and an insertion region within the catalytic domain – and maintains the kinase in an inhibited state (berlanga2016eif2αkinasesand pages 251-254, berlanga2016eif2αkinasesand pages 260-262). Conversely, during heme deficiency, the loss of heme binding triggers conformational changes that enable dimerization and autophosphorylation, leading to activation of the kinase; nitric oxide has also been identified as an activator by binding to its regulatory domain, whereas carbon monoxide can suppress nitric oxide-induced activation (taniuchi2016integratedstressresponse pages 6-8). Additionally, stress-induced oxidative conditions contribute to further activation of HRI, ensuring that its kinase activity is modulated in response to both metabolic and environmental stressors (berlanga2016eif2αkinasesand pages 268-270, amin2022themrnaelements pages 21-26). This multilayered regulation, which encompasses both allosteric modulation by heme and post-translational modifications such as autophosphorylation, exemplifies the critical role that HRI plays as a sensor of cellular perturbations (taniuchi2016integratedstressresponse pages 1-2, berlanga2016eif2αkinasesand pages 249-251).</w:t>
      </w:r>
    </w:p>
    <w:p>
      <w:pPr>
        <w:numPr>
          <w:ilvl w:val="0"/>
          <w:numId w:val="1001"/>
        </w:numPr>
      </w:pPr>
      <w:r>
        <w:t xml:space="preserve">Function</w:t>
      </w:r>
      <w:r>
        <w:br/>
      </w:r>
      <w:r>
        <w:t xml:space="preserve">EIF2AK1 (HRI) serves as a master regulator of translation initiation in response to diverse cellular stress conditions. Its primary biological role is to phosphorylate eIF2α upon detection of disturbances such as heme deficiency, oxidative stress, osmotic shock, mitochondrial dysfunction, and heat shock (amin2022themrnaelements pages 21-26, berlanga2016eif2αkinasesand pages 242-246). By phosphorylating eIF2α at Ser51, HRI inhibits the guanine nucleotide exchange activity of eIF2B, which leads to a global downregulation of cap-dependent translation; this process conserves cellular resources and minimizes the synthesis of potentially misfolded proteins under stress (berlanga2016eif2αkinasesand pages 262-265, taniuchi2016integratedstressresponse pages 1-2). In parallel, the phosphorylation of eIF2α promotes the preferential translation of specific mRNAs that contain upstream open reading frames, such as ATF4, thereby initiating a transcriptional reprogramming that is central to the integrated stress response (ISR) (berlanga2016eif2αkinasesand pages 270-273, immanuel2012acriticalreview pages 1-2). HRI is predominantly expressed in erythroid tissues, where its activity is essential for preventing the accumulation of unassembled globin chains during heme deficiency, thereby safeguarding red cell maturation and function (berlanga2016eif2αkinasesand pages 249-251, taniuchi2016integratedstressresponse pages 1-2). Aside from its critical role in erythropoiesis, HRI is also implicated in the cellular adaptation mechanisms of non-erythroid cells, contributing to the regulation of cellular metabolism and proteostasis under a variety of stress conditions (edenius2018evolutionaryconservationand pages 19-24, krishna2018molecularevolutionand pages 1-2).</w:t>
      </w:r>
    </w:p>
    <w:p>
      <w:pPr>
        <w:numPr>
          <w:ilvl w:val="0"/>
          <w:numId w:val="1001"/>
        </w:numPr>
      </w:pPr>
      <w:r>
        <w:t xml:space="preserve">Other Comments</w:t>
      </w:r>
      <w:r>
        <w:br/>
      </w:r>
      <w:r>
        <w:t xml:space="preserve">Due to its central role in stress-induced translational control, EIF2AK1 (HRI) has attracted significant interest as a potential therapeutic target for diseases in which cellular stress responses are dysregulated. Although specific small-molecule inhibitors that target HRI directly are not comprehensively detailed in the available literature, the inherent regulation by heme implies that molecules modulating heme availability or binding may indirectly influence HRI activity (berlanga2016eif2αkinasesand pages 251-254, taniuchi2016integratedstressresponse pages 6-8). In experimental systems, knockout and overexpression studies have underscored the importance of HRI in maintaining erythroid cell viability and proper globin synthesis, with HRI deficiency leading to conditions such as microcytic hypochromic anemia in mouse models (berlanga2016eif2αkinasesand pages 249-251, taniuchi2016integratedstressresponse pages 2-4). Additionally, the dysregulation of the integrated stress response mediated by aberrant HRI activity is implicated in various pathophysiological conditions including oxidative stress-related disorders, metabolic dysfunctions, and aspects of neurodegeneration (taniuchi2016integratedstressresponse pages 1-2, edenius2018evolutionaryconservationand pages 34-37). Notably, viral proteins that inhibit the ISR by preventing the association of phosphorylated eIF2α with eIF2B have provided further insights into the mechanistic regulation of the pathway in which HRI is a key component (rabouw2020inhibitionofthe pages 12-12). This degree of regulatory control and the strong evolutionary conservation of HRI underscore its importance in cellular homeostasis and stress adaptation and highlight the need for further research to develop selective modulators that can fine-tune its activity in disease settings (berlanga2016eif2αkinasesand pages 273-276, chaumont2024functionalstudyof pages 378-378).</w:t>
      </w:r>
    </w:p>
    <w:p>
      <w:pPr>
        <w:pStyle w:val="FirstParagraph"/>
      </w:pPr>
      <w:r>
        <w:t xml:space="preserve">References</w:t>
      </w:r>
    </w:p>
    <w:p>
      <w:pPr>
        <w:numPr>
          <w:ilvl w:val="0"/>
          <w:numId w:val="1002"/>
        </w:numPr>
      </w:pPr>
      <w:r>
        <w:t xml:space="preserve">(berlanga2016eif2αkinasesand pages 242-246):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251-254):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260-262):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268-270):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(taniuchi2016integratedstressresponse pages 1-2): S. Taniuchi, M. Miyake, Kazue Tsugawa, Miho Oyadomari, and S. Oyadomari. Integrated stress response of vertebrates is regulated by four eif2α kinases. Scientific Reports, Sep 2016. URL: https://doi.org/10.1038/srep32886, doi:10.1038/srep32886. This article has 303 citations and is from a poor quality or predatory journal.</w:t>
      </w:r>
    </w:p>
    <w:p>
      <w:pPr>
        <w:numPr>
          <w:ilvl w:val="0"/>
          <w:numId w:val="1002"/>
        </w:numPr>
      </w:pPr>
      <w:r>
        <w:t xml:space="preserve">(taniuchi2016integratedstressresponse pages 6-8): S. Taniuchi, M. Miyake, Kazue Tsugawa, Miho Oyadomari, and S. Oyadomari. Integrated stress response of vertebrates is regulated by four eif2α kinases. Scientific Reports, Sep 2016. URL: https://doi.org/10.1038/srep32886, doi:10.1038/srep32886. This article has 303 citations and is from a poor quality or predatory journal.</w:t>
      </w:r>
    </w:p>
    <w:p>
      <w:pPr>
        <w:numPr>
          <w:ilvl w:val="0"/>
          <w:numId w:val="1002"/>
        </w:numPr>
      </w:pPr>
      <w:r>
        <w:t xml:space="preserve">(amin2022themrnaelements pages 21-26): PH Amin. The mrna elements directing preferential translation in the integrated stress response. Unknown journal, 2022.</w:t>
      </w:r>
    </w:p>
    <w:p>
      <w:pPr>
        <w:numPr>
          <w:ilvl w:val="0"/>
          <w:numId w:val="1002"/>
        </w:numPr>
      </w:pPr>
      <w:r>
        <w:t xml:space="preserve">(augusto2015amembraneboundeif2 pages 1-2): Leonardo da Silva Augusto, N. Moretti, T. C. Ramos, T. C. L. de Jesus, Min Zhang, B. A. Castilho, and S. Schenkman. A membrane-bound eif2 alpha kinase located in endosomes is regulated by heme and controls differentiation and ros levels in trypanosoma cruzi. PLoS Pathogens, Feb 2015. URL: https://doi.org/10.1371/journal.ppat.1004618, doi:10.1371/journal.ppat.1004618. This article has 57 citations and is from a highest quality peer-reviewed journal.</w:t>
      </w:r>
    </w:p>
    <w:p>
      <w:pPr>
        <w:numPr>
          <w:ilvl w:val="0"/>
          <w:numId w:val="1002"/>
        </w:numPr>
      </w:pPr>
      <w:r>
        <w:t xml:space="preserve">(berlanga2016eif2αkinasesand pages 249-251):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270-273):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(edenius2018evolutionaryconservationand pages 34-37): Maja Lena Edenius. Evolutionary conservation and characterization of the metazoan amino acid response. Unknown journal, Feb 2018. URL: https://doi.org/10.1575/1912/10215, doi:10.1575/1912/10215. This article has 1 citations.</w:t>
      </w:r>
    </w:p>
    <w:p>
      <w:pPr>
        <w:numPr>
          <w:ilvl w:val="0"/>
          <w:numId w:val="1002"/>
        </w:numPr>
      </w:pPr>
      <w:r>
        <w:t xml:space="preserve">(edenius2018evolutionaryconservationand pages 46-48): Maja Lena Edenius. Evolutionary conservation and characterization of the metazoan amino acid response. Unknown journal, Feb 2018. URL: https://doi.org/10.1575/1912/10215, doi:10.1575/1912/10215. This article has 1 citations.</w:t>
      </w:r>
    </w:p>
    <w:p>
      <w:pPr>
        <w:numPr>
          <w:ilvl w:val="0"/>
          <w:numId w:val="1002"/>
        </w:numPr>
      </w:pPr>
      <w:r>
        <w:t xml:space="preserve">(krishna2018molecularevolutionand pages 1-2): K. Hari Krishna and Muthuvel Suresh Kumar. Molecular evolution and functional divergence of eukaryotic translation initiation factor 2-alpha kinases. PLOS ONE, 13:e0194335, Mar 2018. URL: https://doi.org/10.1371/journal.pone.0194335, doi:10.1371/journal.pone.0194335. This article has 20 citations and is from a peer-reviewed journal.</w:t>
      </w:r>
    </w:p>
    <w:p>
      <w:pPr>
        <w:numPr>
          <w:ilvl w:val="0"/>
          <w:numId w:val="1002"/>
        </w:numPr>
      </w:pPr>
      <w:r>
        <w:t xml:space="preserve">(krishna2018molecularevolutionand pages 13-14): K. Hari Krishna and Muthuvel Suresh Kumar. Molecular evolution and functional divergence of eukaryotic translation initiation factor 2-alpha kinases. PLOS ONE, 13:e0194335, Mar 2018. URL: https://doi.org/10.1371/journal.pone.0194335, doi:10.1371/journal.pone.0194335. This article has 20 citations and is from a peer-reviewed journal.</w:t>
      </w:r>
    </w:p>
    <w:p>
      <w:pPr>
        <w:numPr>
          <w:ilvl w:val="0"/>
          <w:numId w:val="1002"/>
        </w:numPr>
      </w:pPr>
      <w:r>
        <w:t xml:space="preserve">(krishna2018molecularevolutionand pages 4-6): K. Hari Krishna and Muthuvel Suresh Kumar. Molecular evolution and functional divergence of eukaryotic translation initiation factor 2-alpha kinases. PLOS ONE, 13:e0194335, Mar 2018. URL: https://doi.org/10.1371/journal.pone.0194335, doi:10.1371/journal.pone.0194335. This article has 20 citations and is from a peer-reviewed journal.</w:t>
      </w:r>
    </w:p>
    <w:p>
      <w:pPr>
        <w:numPr>
          <w:ilvl w:val="0"/>
          <w:numId w:val="1002"/>
        </w:numPr>
      </w:pPr>
      <w:r>
        <w:t xml:space="preserve">(taniuchi2016integratedstressresponse pages 2-4): S. Taniuchi, M. Miyake, Kazue Tsugawa, Miho Oyadomari, and S. Oyadomari. Integrated stress response of vertebrates is regulated by four eif2α kinases. Scientific Reports, Sep 2016. URL: https://doi.org/10.1038/srep32886, doi:10.1038/srep32886. This article has 303 citations and is from a poor quality or predatory journal.</w:t>
      </w:r>
    </w:p>
    <w:p>
      <w:pPr>
        <w:numPr>
          <w:ilvl w:val="0"/>
          <w:numId w:val="1002"/>
        </w:numPr>
      </w:pPr>
      <w:r>
        <w:t xml:space="preserve">(berlanga2016eif2αkinasesand pages 262-265):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273-276):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(chaumont2024functionalstudyof pages 378-378): L Chaumont. Functional study of key fish interferon-stimulated genes using an in vitro knock-out approach in fish cell lines: from comparative immunology to interest for vaccine …. Unknown journal, 2024.</w:t>
      </w:r>
    </w:p>
    <w:p>
      <w:pPr>
        <w:numPr>
          <w:ilvl w:val="0"/>
          <w:numId w:val="1002"/>
        </w:numPr>
      </w:pPr>
      <w:r>
        <w:t xml:space="preserve">(edenius2018evolutionaryconservationand pages 19-24): Maja Lena Edenius. Evolutionary conservation and characterization of the metazoan amino acid response. Unknown journal, Feb 2018. URL: https://doi.org/10.1575/1912/10215, doi:10.1575/1912/10215. This article has 1 citations.</w:t>
      </w:r>
    </w:p>
    <w:p>
      <w:pPr>
        <w:numPr>
          <w:ilvl w:val="0"/>
          <w:numId w:val="1002"/>
        </w:numPr>
      </w:pPr>
      <w:r>
        <w:t xml:space="preserve">(immanuel2012acriticalreview pages 1-2): Tracey M. Immanuel, David R. Greenwood, and Robin M. MacDiarmid. A critical review of translation initiation factor eif2α kinases in plants - regulating protein synthesis during stress. Functional Plant Biology, 39:717, Jan 2012. URL: https://doi.org/10.1071/fp12116, doi:10.1071/fp12116. This article has 38 citations and is from a peer-reviewed journal.</w:t>
      </w:r>
    </w:p>
    <w:p>
      <w:pPr>
        <w:numPr>
          <w:ilvl w:val="0"/>
          <w:numId w:val="1002"/>
        </w:numPr>
      </w:pPr>
      <w:r>
        <w:t xml:space="preserve">(rabouw2020inhibitionofthe pages 12-12): H. Rabouw, L. Visser, T. Passchier, M. Langereis, Fan Liu, P. Giansanti, Arno L. W. van Vliet, J. Dekker, S. G. van der Grein, Jesús G. Saucedo, A. Anand, M. Trellet, A. Bonvin, P. Walter, A. Heck, R. D. de Groot, and F. V. van Kuppeveld. Inhibition of the integrated stress response by viral proteins that block p-eif2–eif2b association. Nature Microbiology, 5:1361-1373, Jul 2020. URL: https://doi.org/10.1038/s41564-020-0759-0, doi:10.1038/s41564-020-0759-0. This article has 45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