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EIF2AK2, more commonly known as PKR, is an interferon‐inducible protein kinase that functions as a key regulator of the cellular stress response and innate immunity. Comparative analyses show that PKR is highly conserved among vertebrates and is a member of the eIF2α kinase family, a group that also comprises PERK, GCN2, and HRI; these kinases share the common function of phosphorylating the α‐subunit of eIF2 in response to diverse stress signals. Orthologs of PKR are found in all mammalian species, and its evolutionary conservation underscores the critical importance of interferon‐mediated antiviral defense. PKR is thought to have evolved from an ancestral kinase present in early vertebrates; its unique N‐terminal double‐stranded RNA–binding motifs (dsRBMs) set it apart from other members of the eIF2α kinase family, which generally lack this module. Thus, PKR represents an evolutionary adaptation that couples viral RNA sensing directly to translational control, thereby integrating innate immune signaling with molecular stress responses (dabo2012dsrnadependentproteinkinase pages 1-3, rothenburg2016evolutionofeif2α pages 14-16).</w:t>
      </w:r>
    </w:p>
    <w:p>
      <w:pPr>
        <w:numPr>
          <w:ilvl w:val="0"/>
          <w:numId w:val="1001"/>
        </w:numPr>
      </w:pPr>
      <w:r>
        <w:t xml:space="preserve">Reaction Catalyzed</w:t>
      </w:r>
      <w:r>
        <w:br/>
      </w:r>
      <w:r>
        <w:t xml:space="preserve">PKR catalyzes the phosphorylation of its primary substrate, the α‐subunit of eukaryotic initiation factor 2 (eIF2α). In this reaction, PKR transfers the γ–phosphate group from ATP to the hydroxyl group of a specific serine residue—namely, serine 51—on eIF2α. The chemical reaction can be represented as follows: ATP + eIF2α → ADP + eIF2α–(Ser51)–phosphate + H⁺. This covalent modification converts eIF2α, a critical factor for the initiation of cap–dependent protein synthesis, into an inhibitor of the guanine nucleotide exchange factor eIF2B, leading to a global downregulation of translation. This reaction is a central component of the integrated stress response (ISR) and plays a pivotal role in limiting viral replication during infection by shutting down both cellular and viral mRNA translation (taylor2005pkrandeif2α pages 1-2, dabo2012dsrnadependentproteinkinase pages 1-3).</w:t>
      </w:r>
    </w:p>
    <w:p>
      <w:pPr>
        <w:numPr>
          <w:ilvl w:val="0"/>
          <w:numId w:val="1001"/>
        </w:numPr>
      </w:pPr>
      <w:r>
        <w:t xml:space="preserve">Cofactor Requirements</w:t>
      </w:r>
      <w:r>
        <w:br/>
      </w:r>
      <w:r>
        <w:t xml:space="preserve">The catalytic activity of PKR is strictly dependent on the presence of ATP as the phosphate donor, a feature common to most protein kinases. In addition, divalent cations—most notably Mg²⁺—are required as cofactors, where Mg²⁺ ions coordinate with ATP to stabilize its binding within the active site of the kinase domain. These magnesium ions are essential for orienting the ATP molecule properly and facilitating the nucleophilic attack by the hydroxyl group on the substrate serine residue. The requirement for Mg²⁺ thus ensures efficient phosphoryl transfer and maintains the catalytic efficiency of PKR under physiological conditions (taylor2005pkrandeif2α pages 1-2, dabo2012dsrnadependentproteinkinase pages 1-3).</w:t>
      </w:r>
    </w:p>
    <w:p>
      <w:pPr>
        <w:numPr>
          <w:ilvl w:val="0"/>
          <w:numId w:val="1001"/>
        </w:numPr>
      </w:pPr>
      <w:r>
        <w:t xml:space="preserve">Substrate Specificity</w:t>
      </w:r>
      <w:r>
        <w:br/>
      </w:r>
      <w:r>
        <w:t xml:space="preserve">PKR exhibits remarkable substrate specificity, with its primary and best‐characterized substrate being the α–subunit of eukaryotic initiation factor 2 (eIF2α). Rather than relying solely on short linear consensus sequences, PKR recognizes eIF2α through a higher–order substrate recognition mechanism that involves key structural features on both the kinase and its substrate. In particular, studies have shown that elements such as the αG helix within the PKR kinase domain contribute to orienting eIF2α for phosphorylation at serine 51. This phosphorylation event is critically dependent on the maintenance of the proper three–dimensional conformation of eIF2α rather than a simple motif, underscoring the intricate nature of the protein–protein interaction. Consequently, PKR’s substrate specificity is defined by the precise spatial arrangement of residues that facilitate binding and catalysis, ensuring that the phosphorylation signal is both specific and tightly regulated (dar2005higherordersubstraterecognition pages 1-3, garcia2006impactofprotein pages 2-3, taylor2005pkrandeif2α pages 1-2).</w:t>
      </w:r>
    </w:p>
    <w:p>
      <w:pPr>
        <w:numPr>
          <w:ilvl w:val="0"/>
          <w:numId w:val="1001"/>
        </w:numPr>
      </w:pPr>
      <w:r>
        <w:t xml:space="preserve">Structure</w:t>
      </w:r>
      <w:r>
        <w:br/>
      </w:r>
      <w:r>
        <w:t xml:space="preserve">PKR is a 551–amino acid enzyme organized into two distinct regions with dedicated functions. The N–terminal regulatory region contains two tandem double–stranded RNA–binding motifs (dsRBM1 and dsRBM2) that adopt a canonical α1–β1–β2–β3–α2 fold and are connected by a flexible linker; these domains mediate the binding of viral or endogenous dsRNA and are critical for relieving autoinhibition of the kinase. Upon binding to dsRNA, conformational changes occur that promote dimerization of PKR, a prerequisite for its subsequent autophosphorylation. The C–terminal region harbors the serine/threonine kinase domain, which is subdivided into an N–lobe and a C–lobe. This catalytic domain contains an activation loop with key threonine residues (Thr446 and Thr451), whose autophosphorylation is essential for full kinase activity. In addition, features such as the conserved C–helix and a hydrophobic spine contribute to the stabilization of the active conformation, particularly during substrate docking via the αG helix. Crystallographic and high–resolution model studies have reinforced the notion that PKR’s modular structure is optimized for coupling RNA sensing directly to translational control, as the spatial arrangement of the dsRBMs relative to the catalytic domain is critical for its activation and subsequent function (bounader2019thesearchfor pages 2-3, dabo2012dsrnadependentproteinkinase pages 1-3, taylor2005pkrandeif2α pages 1-2, sadler2007structureandfunction pages 1-4).</w:t>
      </w:r>
    </w:p>
    <w:p>
      <w:pPr>
        <w:numPr>
          <w:ilvl w:val="0"/>
          <w:numId w:val="1001"/>
        </w:numPr>
      </w:pPr>
      <w:r>
        <w:t xml:space="preserve">Regulation</w:t>
      </w:r>
      <w:r>
        <w:br/>
      </w:r>
      <w:r>
        <w:t xml:space="preserve">The regulation of PKR is multifaceted and occurs at several levels to ensure that kinase activation is both stimulus–dependent and tightly controlled. The principal trigger for PKR activation is the binding of double–stranded RNA (dsRNA) to the N–terminal dsRNA–binding domains; this interaction relieves an autoinhibitory conformation and promotes dimerization, which in turn enables autophosphorylation of critical residues within the activation loop (Thr446 and Thr451) to achieve full catalytic activity. In addition to these autophosphorylation events, PKR activity is modulated by post–translational modifications such as tyrosine phosphorylation at specific sites, which have been shown to further influence its dsRNA–binding affinity and dimerization capacity. Beyond intrinsic modifications, PKR is subject to regulation by various protein interactors. Activators such as PACT bind directly to PKR and enhance its autophosphorylation independently of dsRNA, while inhibitory proteins like TRBP and p58IPK can sequester PKR or prevent its dimerization, thereby attenuating its kinase activity. Viral proteins add an additional regulatory layer; for instance, vaccinia virus proteins E3L and K3L have evolved to inhibit PKR by binding either directly to its dsRNA–binding motifs or by mimicking structural elements of its substrate, reducing eIF2α phosphorylation and allowing viral replication to proceed. Collectively, these diverse regulatory mechanisms ensure that PKR is activated primarily in response to viral infection or other stress signals, thereby limiting unintended inhibition of protein synthesis (blalock2010arolefor pages 4-5, dabo2012dsrnadependentproteinkinase pages 6-8, bounader2019thesearchfor pages 8-9, sadler2007structureandfunction pages 27-30, taylor2005pkrandeif2α pages 1-2).</w:t>
      </w:r>
    </w:p>
    <w:p>
      <w:pPr>
        <w:numPr>
          <w:ilvl w:val="0"/>
          <w:numId w:val="1001"/>
        </w:numPr>
      </w:pPr>
      <w:r>
        <w:t xml:space="preserve">Function</w:t>
      </w:r>
      <w:r>
        <w:br/>
      </w:r>
      <w:r>
        <w:t xml:space="preserve">PKR serves as a central effector in the innate immune response, predominantly by orchestrating the cellular integrated stress response (ISR) through the regulation of protein synthesis. Upon activation by viral dsRNA or stress signals, PKR phosphorylates eIF2α at serine 51, which inhibits the guanine nucleotide exchange activity of eIF2B. This action results in a broad shutdown of cap–dependent mRNA translation, thereby restricting the production of viral proteins and curtailing viral replication. Concurrent with this global translational arrest, the phosphorylation of eIF2α also initiates a selective translational program that favors the synthesis of specific mRNAs, such as that encoding the activating transcription factor ATF4, which in turn drives the expression of genes involved in stress adaptation, apoptosis, and inflammatory responses. In addition to its role in translational control, PKR has been shown to activate signaling pathways including those mediated by NF–κB and MAP kinases, linking the antiviral response to broader inflammatory and apoptotic processes. PKR is expressed ubiquitously across tissues; its transcription is upregulated by type I interferons, ensuring rapid deployment during viral infections. Through these mechanisms, PKR acts both as an antiviral effector and as a modulator of cell survival and apoptosis, thereby playing a crucial role in maintaining cellular homeostasis under conditions of stress (blalock2010arolefor pages 4-5, donnelly2013theeif2αkinases pages 4-5, taylor2005pkrandeif2α pages 1-2, garcia2006impactofprotein pages 1-2).</w:t>
      </w:r>
    </w:p>
    <w:p>
      <w:pPr>
        <w:numPr>
          <w:ilvl w:val="0"/>
          <w:numId w:val="1001"/>
        </w:numPr>
      </w:pPr>
      <w:r>
        <w:t xml:space="preserve">Other Comments</w:t>
      </w:r>
      <w:r>
        <w:br/>
      </w:r>
      <w:r>
        <w:t xml:space="preserve">PKR is a well–characterized target for therapeutic intervention because of its pivotal role in antiviral defense, regulation of apoptosis, and modulation of inflammatory signaling. Several experimental inhibitors of PKR have been developed; for example, 2–aminopurine was one of the earliest compounds shown to inhibit PKR activity, although its lack of specificity limits its clinical utility. Moreover, small molecule modulators that target the ATP–binding site of PKR have been identified through high–throughput screening, and while some of these compounds demonstrate sub–micromolar efficacy in restoring translation in cellular models, concerns regarding off–target effects persist. The ability of certain viruses to evade PKR–mediated translation arrest by expressing viral proteins such as E3L and K3L underscores the biological significance of PKR regulation and highlights the evolutionary arms race between host defense mechanisms and viral countermeasures. Dysregulation of PKR has been implicated in a variety of disease states; apart from its well–established role in limiting viral replication in infections due to hepatitis C virus (HCV), hepatitis B virus (HBV), measles virus, and herpes simplex virus, aberrant PKR activity has also been associated with neurodegenerative disorders and certain forms of cancer. The comprehensive understanding of PKR’s structure, regulatory mechanisms, and substrate specificity not only provides insights into cellular stress management but also offers promising avenues for the development of targeted therapeutics aimed at modulating its activity in disease contexts (galbenari2019pkrakinase pages 19-20, garcia2006impactofprotein pages 11-12, joshi2013smallmoleculemodulators pages 4-4, dabo2012dsrnadependentproteinkinase pages 8-11).</w:t>
      </w:r>
    </w:p>
    <w:p>
      <w:pPr>
        <w:pStyle w:val="FirstParagraph"/>
      </w:pPr>
      <w:r>
        <w:t xml:space="preserve">References</w:t>
      </w:r>
    </w:p>
    <w:p>
      <w:pPr>
        <w:numPr>
          <w:ilvl w:val="0"/>
          <w:numId w:val="1002"/>
        </w:numPr>
      </w:pPr>
      <w:r>
        <w:t xml:space="preserve">(blalock2010arolefor pages 4-5): William L. Blalock, Alberto Bavelloni, Manuela Piazzi, Irene Faenza, and Lucio Cocco. A role for pkr in hematologic malignancies. Journal of Cellular Physiology, Jun 2010. URL: https://doi.org/10.1002/jcp.22092, doi:10.1002/jcp.22092. This article has 27 citations and is from a peer-reviewed journal.</w:t>
      </w:r>
    </w:p>
    <w:p>
      <w:pPr>
        <w:numPr>
          <w:ilvl w:val="0"/>
          <w:numId w:val="1002"/>
        </w:numPr>
      </w:pPr>
      <w:r>
        <w:t xml:space="preserve">(bounader2019thesearchfor pages 2-3): C. Bou-Nader, Jackson M Gordon, Frances E. Henderson, and Jinwei Zhang. The search for a pkr code—differential regulation of protein kinase r activity by diverse rna and protein regulators. RNA, 25:539-556, Feb 2019. URL: https://doi.org/10.1261/rna.070169.118, doi:10.1261/rna.070169.118. This article has 65 citations and is from a domain leading peer-reviewed journal.</w:t>
      </w:r>
    </w:p>
    <w:p>
      <w:pPr>
        <w:numPr>
          <w:ilvl w:val="0"/>
          <w:numId w:val="1002"/>
        </w:numPr>
      </w:pPr>
      <w:r>
        <w:t xml:space="preserve">(dabo2012dsrnadependentproteinkinase pages 1-3): Stéphanie Dabo and Eliane F. Meurs. Dsrna-dependent protein kinase pkr and its role in stress, signaling and hcv infection. Viruses, 4:2598-2635, Oct 2012. URL: https://doi.org/10.3390/v4112598, doi:10.3390/v4112598. This article has 194 citations and is from a peer-reviewed journal.</w:t>
      </w:r>
    </w:p>
    <w:p>
      <w:pPr>
        <w:numPr>
          <w:ilvl w:val="0"/>
          <w:numId w:val="1002"/>
        </w:numPr>
      </w:pPr>
      <w:r>
        <w:t xml:space="preserve">(dabo2012dsrnadependentproteinkinase pages 6-8): Stéphanie Dabo and Eliane F. Meurs. Dsrna-dependent protein kinase pkr and its role in stress, signaling and hcv infection. Viruses, 4:2598-2635, Oct 2012. URL: https://doi.org/10.3390/v4112598, doi:10.3390/v4112598. This article has 194 citations and is from a peer-reviewed journal.</w:t>
      </w:r>
    </w:p>
    <w:p>
      <w:pPr>
        <w:numPr>
          <w:ilvl w:val="0"/>
          <w:numId w:val="1002"/>
        </w:numPr>
      </w:pPr>
      <w:r>
        <w:t xml:space="preserve">(dabo2012dsrnadependentproteinkinase pages 8-11): Stéphanie Dabo and Eliane F. Meurs. Dsrna-dependent protein kinase pkr and its role in stress, signaling and hcv infection. Viruses, 4:2598-2635, Oct 2012. URL: https://doi.org/10.3390/v4112598, doi:10.3390/v4112598. This article has 194 citations and is from a peer-reviewed journal.</w:t>
      </w:r>
    </w:p>
    <w:p>
      <w:pPr>
        <w:numPr>
          <w:ilvl w:val="0"/>
          <w:numId w:val="1002"/>
        </w:numPr>
      </w:pPr>
      <w:r>
        <w:t xml:space="preserve">(dar2005higherordersubstraterecognition pages 1-3): Arvin C. Dar, Thomas E. Dever, and Frank Sicheri. Higher-order substrate recognition of eif2α by the rna-dependent protein kinase pkr. Cell, 122:887-900, Sep 2005. URL: https://doi.org/10.1016/j.cell.2005.06.044, doi:10.1016/j.cell.2005.06.044. This article has 472 citations and is from a highest quality peer-reviewed journal.</w:t>
      </w:r>
    </w:p>
    <w:p>
      <w:pPr>
        <w:numPr>
          <w:ilvl w:val="0"/>
          <w:numId w:val="1002"/>
        </w:numPr>
      </w:pPr>
      <w:r>
        <w:t xml:space="preserve">(donnelly2013theeif2αkinases pages 4-5): Neysan Donnelly, Adrienne M. Gorman, Sanjeev Gupta, and Afshin Samali. The eif2α kinases: their structures and functions. Cellular and Molecular Life Sciences, 70:3493-3511, Jan 2013. URL: https://doi.org/10.1007/s00018-012-1252-6, doi:10.1007/s00018-012-1252-6. This article has 1038 citations and is from a domain leading peer-reviewed journal.</w:t>
      </w:r>
    </w:p>
    <w:p>
      <w:pPr>
        <w:numPr>
          <w:ilvl w:val="0"/>
          <w:numId w:val="1002"/>
        </w:numPr>
      </w:pPr>
      <w:r>
        <w:t xml:space="preserve">(garcia2006impactofprotein pages 1-2): María García, J. Gil, I. Ventoso, Susana Guerra, E. Domingo, C. Rivas, and M. Esteban. Impact of protein kinase pkr in cell biology: from antiviral to antiproliferative action. Microbiology and Molecular Biology Reviews, 70:1032-1060, Dec 2006. URL: https://doi.org/10.1128/mmbr.00027-06, doi:10.1128/mmbr.00027-06. This article has 1088 citations and is from a domain leading peer-reviewed journal.</w:t>
      </w:r>
    </w:p>
    <w:p>
      <w:pPr>
        <w:numPr>
          <w:ilvl w:val="0"/>
          <w:numId w:val="1002"/>
        </w:numPr>
      </w:pPr>
      <w:r>
        <w:t xml:space="preserve">(rothenburg2016evolutionofeif2α pages 14-16): Stefan Rothenburg, Millie M. Georgiadis, and Ronald C. Wek. Evolution of eif2α kinases: adapting translational control to diverse stresses. Evolution of the Protein Synthesis Machinery and Its Regulation, pages 235-260, Jan 2016. URL: https://doi.org/10.1007/978-3-319-39468-8_11, doi:10.1007/978-3-319-39468-8_11. This article has 14 citations.</w:t>
      </w:r>
    </w:p>
    <w:p>
      <w:pPr>
        <w:numPr>
          <w:ilvl w:val="0"/>
          <w:numId w:val="1002"/>
        </w:numPr>
      </w:pPr>
      <w:r>
        <w:t xml:space="preserve">(sadler2007structureandfunction pages 1-4): A. J. Sadler and B. R. G. Williams. Structure and function of the protein kinase r. Current Topics in Microbiology and Immunology, 316:253-292, 2007. URL: https://doi.org/10.1007/978-3-540-71329-6_13, doi:10.1007/978-3-540-71329-6_13. This article has 278 citations and is from a peer-reviewed journal.</w:t>
      </w:r>
    </w:p>
    <w:p>
      <w:pPr>
        <w:numPr>
          <w:ilvl w:val="0"/>
          <w:numId w:val="1002"/>
        </w:numPr>
      </w:pPr>
      <w:r>
        <w:t xml:space="preserve">(sadler2007structureandfunction pages 27-30): A. J. Sadler and B. R. G. Williams. Structure and function of the protein kinase r. Current Topics in Microbiology and Immunology, 316:253-292, 2007. URL: https://doi.org/10.1007/978-3-540-71329-6_13, doi:10.1007/978-3-540-71329-6_13. This article has 278 citations and is from a peer-reviewed journal.</w:t>
      </w:r>
    </w:p>
    <w:p>
      <w:pPr>
        <w:numPr>
          <w:ilvl w:val="0"/>
          <w:numId w:val="1002"/>
        </w:numPr>
      </w:pPr>
      <w:r>
        <w:t xml:space="preserve">(taylor2005pkrandeif2α pages 1-2): Susan S. Taylor, Nina M. Haste, and Gourisankar Ghosh. Pkr and eif2α: integration of kinase dimerization, activation, and substrate docking. Cell, 122:823-825, Sep 2005. URL: https://doi.org/10.1016/j.cell.2005.09.007, doi:10.1016/j.cell.2005.09.007. This article has 175 citations and is from a highest quality peer-reviewed journal.</w:t>
      </w:r>
    </w:p>
    <w:p>
      <w:pPr>
        <w:numPr>
          <w:ilvl w:val="0"/>
          <w:numId w:val="1002"/>
        </w:numPr>
      </w:pPr>
      <w:r>
        <w:t xml:space="preserve">(bounader2019thesearchfor pages 8-9): C. Bou-Nader, Jackson M Gordon, Frances E. Henderson, and Jinwei Zhang. The search for a pkr code—differential regulation of protein kinase r activity by diverse rna and protein regulators. RNA, 25:539-556, Feb 2019. URL: https://doi.org/10.1261/rna.070169.118, doi:10.1261/rna.070169.118. This article has 65 citations and is from a domain leading peer-reviewed journal.</w:t>
      </w:r>
    </w:p>
    <w:p>
      <w:pPr>
        <w:numPr>
          <w:ilvl w:val="0"/>
          <w:numId w:val="1002"/>
        </w:numPr>
      </w:pPr>
      <w:r>
        <w:t xml:space="preserve">(galbenari2019pkrakinase pages 19-20): Shunit Gal-Ben-Ari, Iliana Barrera, Marcelo Ehrlich, and Kobi Rosenblum. Pkr: a kinase to remember. Frontiers in Molecular Neuroscience, Jan 2019. URL: https://doi.org/10.3389/fnmol.2018.00480, doi:10.3389/fnmol.2018.00480. This article has 293 citations and is from a peer-reviewed journal.</w:t>
      </w:r>
    </w:p>
    <w:p>
      <w:pPr>
        <w:numPr>
          <w:ilvl w:val="0"/>
          <w:numId w:val="1002"/>
        </w:numPr>
      </w:pPr>
      <w:r>
        <w:t xml:space="preserve">(garcia2006impactofprotein pages 11-12): María García, J. Gil, I. Ventoso, Susana Guerra, E. Domingo, C. Rivas, and M. Esteban. Impact of protein kinase pkr in cell biology: from antiviral to antiproliferative action. Microbiology and Molecular Biology Reviews, 70:1032-1060, Dec 2006. URL: https://doi.org/10.1128/mmbr.00027-06, doi:10.1128/mmbr.00027-06. This article has 1088 citations and is from a domain leading peer-reviewed journal.</w:t>
      </w:r>
    </w:p>
    <w:p>
      <w:pPr>
        <w:numPr>
          <w:ilvl w:val="0"/>
          <w:numId w:val="1002"/>
        </w:numPr>
      </w:pPr>
      <w:r>
        <w:t xml:space="preserve">(garcia2006impactofprotein pages 2-3): María García, J. Gil, I. Ventoso, Susana Guerra, E. Domingo, C. Rivas, and M. Esteban. Impact of protein kinase pkr in cell biology: from antiviral to antiproliferative action. Microbiology and Molecular Biology Reviews, 70:1032-1060, Dec 2006. URL: https://doi.org/10.1128/mmbr.00027-06, doi:10.1128/mmbr.00027-06. This article has 1088 citations and is from a domain leading peer-reviewed journal.</w:t>
      </w:r>
    </w:p>
    <w:p>
      <w:pPr>
        <w:numPr>
          <w:ilvl w:val="0"/>
          <w:numId w:val="1002"/>
        </w:numPr>
      </w:pPr>
      <w:r>
        <w:t xml:space="preserve">(joshi2013smallmoleculemodulators pages 4-4): Manali Joshi, Abhijeet Kulkarni, and Jayanta K. Pal. Small molecule modulators of eukaryotic initiation factor 2α kinases, the key regulators of protein synthesis. Biochimie, 95:1980-1990, Nov 2013. URL: https://doi.org/10.1016/j.biochi.2013.07.030, doi:10.1016/j.biochi.2013.07.030. This article has 47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2025-06-18T18:52:37Z</dcterms:created>
  <dcterms:modified xsi:type="dcterms:W3CDTF">2025-06-18T18:52:37Z</dcterms:modified>
</cp:coreProperties>
</file>

<file path=docProps/custom.xml><?xml version="1.0" encoding="utf-8"?>
<Properties xmlns="http://schemas.openxmlformats.org/officeDocument/2006/custom-properties" xmlns:vt="http://schemas.openxmlformats.org/officeDocument/2006/docPropsVTypes"/>
</file>