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Ethanolamine kinase 2 (ETNK2), also designated as ethanolamine kinase‐like protein and encoded by the ETNK2 (EKI2) gene (UniProt ID Q9NVF9), is a member of the choline/ethanolamine kinase subgroup within the broad protein kinase–like (PKL) superfamily. Its catalytic domain shows substantial sequence conservation with other eukaryotic‐like kinases (ELKs) that catalyze the phosphorylation of small molecule substrates. Orthologs of ETNK2 have been identified in multiple eukaryotic species, and comparative sequence analyses indicate that its conserved catalytic motifs are shared with kinases that participate in membrane lipid biosynthesis pathways (cheek2002sequenceandstructure pages 1-2, kannan2007structuralandfunctional pages 6-8). The evolutionary relationships of ETNK2 place it in a clade distinct from classical signal‐transducing protein kinases; instead, it clusters with enzymes specialized for phosphorylation reactions that modify small substrates such as ethanolamine. Phylogenetic reconstructions based on aligned kinase domains consistently reveal that ETNK2 and related kinases emerged early in eukaryotic evolution, with homologous sequences traced in diverse mammalian genomes as well as other higher eukaryotes (lai2016evolutionaryancestryof pages 9-11, oruganty2016identificationandclassification pages 4-7). Furthermore, the conservation of motifs involved in ATP binding and phosphotransfer, as observed in the glycine‐rich loop and catalytic loop regions, underscores the evolutionary pressure to maintain these features across the choline/ethanolamine kinase family. In established kinase phylogenies, ETNK2 is assigned to the extended kinome group that encompasses enzymes whose functions are primarily related to lipid metabolism rather than protein phosphorylation, a categorization that distinguishes it from the canonical eukaryotic protein kinases of the signal transduction pathways (cheek2002sequenceandstructure pages 1-2, kannan2007structuralandfunctional pages 6-8). The phylogenetic context of ETNK2 is supported by robust analyses that include comparisons of catalytic residues, domain architecture, and overall amino acid conservation, confirming its membership in the evolutionary core set of kinases that emerged in the Last Eukaryotic Common Ancestor. This grouping is based on the observation that the catalytic domain of ETNK2 shares significant homology with other choline/ethanolamine kinases, even though its substrate specificity is strictly confined to ethanolamine (lai2016evolutionaryancestryof pages 9-11, oruganty2016identificationandclassification pages 4-7).</w:t>
      </w:r>
    </w:p>
    <w:p>
      <w:pPr>
        <w:numPr>
          <w:ilvl w:val="0"/>
          <w:numId w:val="1001"/>
        </w:numPr>
      </w:pPr>
      <w:r>
        <w:t xml:space="preserve">Reaction Catalyzed</w:t>
      </w:r>
      <w:r>
        <w:br/>
      </w:r>
      <w:r>
        <w:t xml:space="preserve">ETNK2 catalyzes a single‐step, ATP‐dependent phosphorylation reaction that converts ethanolamine into phosphoethanolamine. The chemical reaction is as follows: ATP + ethanolamine → ADP + phosphoethanolamine + H⁺. In this process, ETNK2 facilitates the transfer of the γ‐phosphate group from ATP to the hydroxyl group on ethanolamine, resulting in the production of ADP along with the phosphorylated product and a proton. This reaction constitutes the initial step in the Kennedy pathway, which is critical for the biosynthesis of phosphatidylethanolamine—a major component of cellular membranes (cheek2002sequenceandstructure pages 1-2, oruganty2016identificationandclassification pages 4-7). The precise organization of the active site ensures that the reaction occurs under physiologically optimal conditions, and the catalytic mechanism is consistent with that of other kinases that act on small molecule substrates.</w:t>
      </w:r>
    </w:p>
    <w:p>
      <w:pPr>
        <w:numPr>
          <w:ilvl w:val="0"/>
          <w:numId w:val="1001"/>
        </w:numPr>
      </w:pPr>
      <w:r>
        <w:t xml:space="preserve">Cofactor Requirements</w:t>
      </w:r>
      <w:r>
        <w:br/>
      </w:r>
      <w:r>
        <w:t xml:space="preserve">The catalytic activity of ETNK2 is dependent on the presence of magnesium ions (Mg²⁺). Mg²⁺ acts as an essential cofactor by coordinating with the phosphate groups of ATP, thereby stabilizing ATP within the active site and facilitating the proper orientation of the γ‐phosphate for transfer to ethanolamine. This divalent cation requirement is a well‐established feature among kinases, and it plays a central role in the enzyme’s ability to perform phosphoryl transfer (cheek2002sequenceandstructure pages 1-2, wang2015structuralandenzymatic pages 4-6). The presence of Mg²⁺ in the catalytic pocket reduces the activation energy of the reaction and contributes to the formation of a transition state that is conducive to efficient substrate modification.</w:t>
      </w:r>
    </w:p>
    <w:p>
      <w:pPr>
        <w:numPr>
          <w:ilvl w:val="0"/>
          <w:numId w:val="1001"/>
        </w:numPr>
      </w:pPr>
      <w:r>
        <w:t xml:space="preserve">Substrate Specificity</w:t>
      </w:r>
      <w:r>
        <w:br/>
      </w:r>
      <w:r>
        <w:t xml:space="preserve">ETNK2 is distinguished by its high substrate specificity for ethanolamine. The enzyme phosphorylates ethanolamine with a high degree of selectivity, and it does not exhibit choline kinase activity despite its structural similarity to related kinases. This substrate specificity is determined by the precise arrangement of amino acid residues in the substrate binding pocket, which confers the ability to discriminate between ethanolamine and similar substrates such as choline. The active site architecture of ETNK2 is such that the molecular interactions are optimized to favor binding of ethanolamine’s functional groups, thereby ensuring that the phosphotransfer reaction is restricted exclusively to this substrate (cheek2002sequenceandstructure pages 9-11, oruganty2016identificationandclassification pages 4-7). This strict specificity is a key functional attribute that supports the role of ETNK2 in phospholipid biosynthesis via the Kennedy pathway, and it underscores the evolutionary divergence of substrate preference within the kinase family.</w:t>
      </w:r>
    </w:p>
    <w:p>
      <w:pPr>
        <w:numPr>
          <w:ilvl w:val="0"/>
          <w:numId w:val="1001"/>
        </w:numPr>
      </w:pPr>
      <w:r>
        <w:t xml:space="preserve">Structure</w:t>
      </w:r>
      <w:r>
        <w:br/>
      </w:r>
      <w:r>
        <w:t xml:space="preserve">The three-dimensional structure of ETNK2 is characterized by a canonical kinase fold that comprises a bilobal architecture typical of many protein kinase–like enzymes. The enzyme’s catalytic domain spans approximately 250–300 amino acids and is organized into two distinct lobes. The smaller N-terminal lobe is primarily composed of beta-sheet elements and houses the glycine-rich loop (P-loop), a structural motif that is critical for ATP binding. This loop interacts with the phosphate moiety of ATP, thereby positioning the nucleotide for efficient catalysis (cheek2002sequenceandstructure pages 9-11, kannan2007structuralandfunctional pages 6-8). In contrast, the larger C-terminal lobe is dominated by alpha-helices and forms the substrate binding pocket as well as the catalytic cleft. Within this lobe, several conserved motifs have been identified, including the catalytic loop—which contains a key aspartate residue essential for the phosphoryl transfer reaction—and the DFG motif, which is involved in coordinating the Mg²⁺ cofactor (cheek2002sequenceandstructure pages 9-11, wang2015structuralandenzymatic pages 4-6).</w:t>
      </w:r>
      <w:r>
        <w:br/>
      </w:r>
      <w:r>
        <w:t xml:space="preserve">Predicted structural models, such as those generated by recent computational methods, indicate that ETNK2 adopts a fold consistent with other members of the choline/ethanolamine kinase family. The overall three-dimensional organization features an active site located at the interface between the N-terminal and C-terminal lobes, where the bound ATP and ethanolamine substrate are positioned in close proximity to facilitate phosphoryl transfer. The conserved orientation of the P-loop, the catalytic loop, and the DFG motif—coupled with the bilobal structure—is indicative of a highly conserved mechanistic framework that is shared by kinases operating in the biosynthesis of membrane lipids (lai2016evolutionaryancestryof pages 9-11, torretta2020crystalstructureof pages 6-8). In addition, comparisons with crystallographic data from related enzymes, such as the choline kinase homolog from Streptococcus pneumoniae, further support the prediction that ETNK2 possesses a similar domain organization and active site architecture (wang2015structuralandenzymatic pages 4-6). While experimental structural data specific to ETNK2 may be limited, the conservation of key secondary structure elements and catalytic motifs reinforces the model of a kinase that operates via the classical bi‐lobar mechanism observed in many small molecule kinases.</w:t>
      </w:r>
    </w:p>
    <w:p>
      <w:pPr>
        <w:numPr>
          <w:ilvl w:val="0"/>
          <w:numId w:val="1001"/>
        </w:numPr>
      </w:pPr>
      <w:r>
        <w:t xml:space="preserve">Regulation</w:t>
      </w:r>
      <w:r>
        <w:br/>
      </w:r>
      <w:r>
        <w:t xml:space="preserve">The regulatory mechanisms of ETNK2 have not been extensively characterized in the peer‐reviewed literature; however, based on the regulatory paradigms established for related choline/ethanolamine kinases, several modes of regulation can be outlined. ETNK2 is subject to control at the transcriptional level, with gene expression potentially modulated in response to cellular lipid metabolic demands. In addition, post‐translational modifications, such as phosphorylation, are common among kinases and may serve to alter the conformation of the enzyme or modulate its catalytic activity. Within the catalytic domain, conserved sequences that are known targets for phosphorylation in related kinases are present, suggesting that similar regulatory modifications could impact ETNK2 function (lai2016evolutionaryancestryof pages 9-11, oruganty2016identificationandclassification pages 4-7). Furthermore, allosteric regulation through conformational changes induced by substrate or cofactor binding may influence the active state of the enzyme. Although specific residues that undergo modification have not been definitively identified for ETNK2, the overall architecture of the kinase domain—which includes regions equivalent to activation loops and substrate binding pockets typical of kinases—provides a structural basis for regulation by reversible modifications. These regulatory phenomena, well established in other members of the choline/ethanolamine kinase family, are expected to play a role in fine-tuning ETNK2 activity in accordance with the metabolic status of the cell.</w:t>
      </w:r>
    </w:p>
    <w:p>
      <w:pPr>
        <w:numPr>
          <w:ilvl w:val="0"/>
          <w:numId w:val="1001"/>
        </w:numPr>
      </w:pPr>
      <w:r>
        <w:t xml:space="preserve">Function</w:t>
      </w:r>
      <w:r>
        <w:br/>
      </w:r>
      <w:r>
        <w:t xml:space="preserve">ETNK2 performs a pivotal function in cellular metabolism by catalyzing the phosphorylation of ethanolamine, thereby initiating the Kennedy pathway for the biosynthesis of phosphatidylethanolamine. Phosphatidylethanolamine is a major phospholipid component of cellular membranes, and its synthesis is essential for maintaining membrane integrity and fluidity. By generating phosphoethanolamine, ETNK2 provides a necessary intermediate that is subsequently converted into cytidine diphosphate (CDP)–ethanolamine and finally incorporated into phosphatidylethanolamine. This reaction is fundamental to the de novo synthesis of membrane lipids, and proper function of ETNK2 is crucial for ensuring adequate production of phosphatidylethanolamine in various tissues (cheek2002sequenceandstructure pages 1-2, lai2016evolutionaryancestryof pages 9-11).</w:t>
      </w:r>
      <w:r>
        <w:br/>
      </w:r>
      <w:r>
        <w:t xml:space="preserve">In addition to its role in membrane biogenesis, the activity of ETNK2 may indirectly influence other cellular processes, including cell growth, differentiation, and intracellular signaling, by affecting the composition and properties of cellular membranes. The specificity of ETNK2 for ethanolamine—as opposed to choline—ensures a dedicated flux of metabolites into the phosphatidylethanolamine biosynthetic pathway, thereby maintaining the balance between different classes of phospholipids. Although detailed studies of its expression patterns have not been comprehensively reported, ETNK2 is catalogued within the extended human kinome and is presumed to be expressed in a variety of tissues where membrane turnover and lipid metabolism are active. The enzymatic product, phosphoethanolamine, is not only an essential intermediate in phospholipid synthesis but may also serve as a regulatory metabolite in processes that control cell viability and metabolic adaptation (cheek2002sequenceandstructure pages 1-2, lai2016evolutionaryancestryof pages 9-11, oruganty2016identificationandclassification pages 4-7).</w:t>
      </w:r>
    </w:p>
    <w:p>
      <w:pPr>
        <w:numPr>
          <w:ilvl w:val="0"/>
          <w:numId w:val="1001"/>
        </w:numPr>
      </w:pPr>
      <w:r>
        <w:t xml:space="preserve">Other Comments</w:t>
      </w:r>
      <w:r>
        <w:br/>
      </w:r>
      <w:r>
        <w:t xml:space="preserve">At present, specific inhibitors targeting ETNK2 have not been widely reported in the peer‐reviewed literature. The enzyme’s highly specific substrate preference for ethanolamine distinguishes it from other kinases that exhibit more promiscuous activity, and its unique catalytic properties make it a subject of considerable interest for future drug discovery efforts. In terms of disease associations, there is limited documentation directly linking ETNK2 to specific pathological states; however, because it plays a critical role in the synthesis of phosphatidylethanolamine, alterations in its activity could potentially impact cellular membrane composition and function, with downstream effects on metabolic homeostasis. ETNK2 is recognized as part of the extended kinome, and its classification as an understudied kinase suggests that additional studies will be required to fully elucidate its regulatory mechanisms, inhibitor sensitivity, and potential involvement in metabolic disorders. The available data affirm that ETNK2 is distinguished by its precise substrate specificity and canonical kinase fold, yet its complete biological profile—including detailed mechanisms of regulation and direct clinical associations—remains an area of ongoing investigation (oruganty2016identificationandclassification pages 8-11, lai2016evolutionaryancestryof pages 9-11).</w:t>
      </w:r>
    </w:p>
    <w:p>
      <w:pPr>
        <w:numPr>
          <w:ilvl w:val="0"/>
          <w:numId w:val="1001"/>
        </w:numPr>
      </w:pPr>
      <w:r>
        <w:t xml:space="preserve">References</w:t>
      </w:r>
      <w:r>
        <w:br/>
      </w:r>
    </w:p>
    <w:p>
      <w:pPr>
        <w:numPr>
          <w:ilvl w:val="0"/>
          <w:numId w:val="1001"/>
        </w:numPr>
      </w:pPr>
      <w:r>
        <w:t xml:space="preserve">cheek2002sequenceandstructure pages 1-2</w:t>
      </w:r>
      <w:r>
        <w:br/>
      </w:r>
    </w:p>
    <w:p>
      <w:pPr>
        <w:numPr>
          <w:ilvl w:val="0"/>
          <w:numId w:val="1001"/>
        </w:numPr>
      </w:pPr>
      <w:r>
        <w:t xml:space="preserve">cheek2002sequenceandstructure pages 9-11</w:t>
      </w:r>
      <w:r>
        <w:br/>
      </w:r>
    </w:p>
    <w:p>
      <w:pPr>
        <w:numPr>
          <w:ilvl w:val="0"/>
          <w:numId w:val="1001"/>
        </w:numPr>
      </w:pPr>
      <w:r>
        <w:t xml:space="preserve">kannan2007structuralandfunctional pages 6-8</w:t>
      </w:r>
      <w:r>
        <w:br/>
      </w:r>
    </w:p>
    <w:p>
      <w:pPr>
        <w:numPr>
          <w:ilvl w:val="0"/>
          <w:numId w:val="1001"/>
        </w:numPr>
      </w:pPr>
      <w:r>
        <w:t xml:space="preserve">lai2016evolutionaryancestryof pages 9-11</w:t>
      </w:r>
      <w:r>
        <w:br/>
      </w:r>
    </w:p>
    <w:p>
      <w:pPr>
        <w:numPr>
          <w:ilvl w:val="0"/>
          <w:numId w:val="1001"/>
        </w:numPr>
      </w:pPr>
      <w:r>
        <w:t xml:space="preserve">oruganty2016identificationandclassification pages 4-7</w:t>
      </w:r>
      <w:r>
        <w:br/>
      </w:r>
    </w:p>
    <w:p>
      <w:pPr>
        <w:numPr>
          <w:ilvl w:val="0"/>
          <w:numId w:val="1001"/>
        </w:numPr>
      </w:pPr>
      <w:r>
        <w:t xml:space="preserve">wang2015structuralandenzymatic pages 4-6</w:t>
      </w:r>
      <w:r>
        <w:br/>
      </w:r>
    </w:p>
    <w:p>
      <w:pPr>
        <w:numPr>
          <w:ilvl w:val="0"/>
          <w:numId w:val="1001"/>
        </w:numPr>
      </w:pPr>
      <w:r>
        <w:t xml:space="preserve">torretta2020crystalstructureof pages 6-8</w:t>
      </w:r>
    </w:p>
    <w:p>
      <w:pPr>
        <w:pStyle w:val="FirstParagraph"/>
      </w:pPr>
      <w:r>
        <w:t xml:space="preserve">References</w:t>
      </w:r>
    </w:p>
    <w:p>
      <w:pPr>
        <w:numPr>
          <w:ilvl w:val="0"/>
          <w:numId w:val="1002"/>
        </w:numPr>
      </w:pPr>
      <w:r>
        <w:t xml:space="preserve">(cheek2002sequenceandstructure pages 1-2): Sara Cheek, Hong Zhang, and Nick V Grishin. Sequence and structure classification of kinases. Journal of Molecular Biology, 320:855-881, Jul 2002. URL: https://doi.org/10.1016/s0022-2836(02)00538-7, doi:10.1016/s0022-2836(02)00538-7. This article has 247 citations and is from a domain leading peer-reviewed journal.</w:t>
      </w:r>
    </w:p>
    <w:p>
      <w:pPr>
        <w:numPr>
          <w:ilvl w:val="0"/>
          <w:numId w:val="1002"/>
        </w:numPr>
      </w:pPr>
      <w:r>
        <w:t xml:space="preserve">(cheek2002sequenceandstructure pages 9-11): Sara Cheek, Hong Zhang, and Nick V Grishin. Sequence and structure classification of kinases. Journal of Molecular Biology, 320:855-881, Jul 2002. URL: https://doi.org/10.1016/s0022-2836(02)00538-7, doi:10.1016/s0022-2836(02)00538-7. This article has 247 citations and is from a domain leading peer-reviewed journal.</w:t>
      </w:r>
    </w:p>
    <w:p>
      <w:pPr>
        <w:numPr>
          <w:ilvl w:val="0"/>
          <w:numId w:val="1002"/>
        </w:numPr>
      </w:pPr>
      <w:r>
        <w:t xml:space="preserve">(kannan2007structuralandfunctional pages 6-8): Natarajan Kannan, Susan S Taylor, Yufeng Zhai, J. Craig Venter, and Gerard Manning. Structural and functional diversity of the microbial kinome. PLoS Biology, 5:e17, Mar 2007. URL: https://doi.org/10.1371/journal.pbio.0050017, doi:10.1371/journal.pbio.0050017. This article has 323 citations and is from a highest quality peer-reviewed journal.</w:t>
      </w:r>
    </w:p>
    <w:p>
      <w:pPr>
        <w:numPr>
          <w:ilvl w:val="0"/>
          <w:numId w:val="1002"/>
        </w:numPr>
      </w:pPr>
      <w:r>
        <w:t xml:space="preserve">(lai2016evolutionaryancestryof pages 9-11): Shenshen Lai, Javad Safaei, and Steven Pelech. Evolutionary ancestry of eukaryotic protein kinases and choline kinases. Journal of Biological Chemistry, 291:5199-5205, Mar 2016. URL: https://doi.org/10.1074/jbc.m115.691428, doi:10.1074/jbc.m115.691428. This article has 16 citations and is from a domain leading peer-reviewed journal.</w:t>
      </w:r>
    </w:p>
    <w:p>
      <w:pPr>
        <w:numPr>
          <w:ilvl w:val="0"/>
          <w:numId w:val="1002"/>
        </w:numPr>
      </w:pPr>
      <w:r>
        <w:t xml:space="preserve">(oruganty2016identificationandclassification pages 4-7): Krishnadev Oruganty, Eric E. Talevich, Andrew F. Neuwald, and Natarajan Kannan. Identification and classification of small molecule kinases: insights into substrate recognition and specificity. BMC Evolutionary Biology, Jan 2016. URL: https://doi.org/10.1186/s12862-015-0576-x, doi:10.1186/s12862-015-0576-x. This article has 25 citations.</w:t>
      </w:r>
    </w:p>
    <w:p>
      <w:pPr>
        <w:numPr>
          <w:ilvl w:val="0"/>
          <w:numId w:val="1002"/>
        </w:numPr>
      </w:pPr>
      <w:r>
        <w:t xml:space="preserve">(torretta2020crystalstructureof pages 6-8): Archimede Torretta, Luisa Carlota Lopez-Cara, and Emilio Parisini. Crystal structure of the apo and the adp-bound form of choline kinase from plasmodium falciparum. Crystals, 10:613, Jul 2020. URL: https://doi.org/10.3390/cryst10070613, doi:10.3390/cryst10070613. This article has 9 citations and is from a peer-reviewed journal.</w:t>
      </w:r>
    </w:p>
    <w:p>
      <w:pPr>
        <w:numPr>
          <w:ilvl w:val="0"/>
          <w:numId w:val="1002"/>
        </w:numPr>
      </w:pPr>
      <w:r>
        <w:t xml:space="preserve">(oruganty2016identificationandclassification pages 8-11): Krishnadev Oruganty, Eric E. Talevich, Andrew F. Neuwald, and Natarajan Kannan. Identification and classification of small molecule kinases: insights into substrate recognition and specificity. BMC Evolutionary Biology, Jan 2016. URL: https://doi.org/10.1186/s12862-015-0576-x, doi:10.1186/s12862-015-0576-x. This article has 25 citations.</w:t>
      </w:r>
    </w:p>
    <w:p>
      <w:pPr>
        <w:numPr>
          <w:ilvl w:val="0"/>
          <w:numId w:val="1002"/>
        </w:numPr>
      </w:pPr>
      <w:r>
        <w:t xml:space="preserve">(wang2015structuralandenzymatic pages 4-6): Lei Wang, Yong-Liang Jiang, Jing-Ren Zhang, Cong-Zhao Zhou, and Yuxing Chen. Structural and enzymatic characterization of the choline kinase lica from streptococcus pneumoniae. PLOS ONE, 10:e0120467, Mar 2015. URL: https://doi.org/10.1371/journal.pone.0120467, doi:10.1371/journal.pone.0120467. This article has 23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2025-06-18T18:52:44Z</dcterms:created>
  <dcterms:modified xsi:type="dcterms:W3CDTF">2025-06-18T18:52:44Z</dcterms:modified>
</cp:coreProperties>
</file>

<file path=docProps/custom.xml><?xml version="1.0" encoding="utf-8"?>
<Properties xmlns="http://schemas.openxmlformats.org/officeDocument/2006/custom-properties" xmlns:vt="http://schemas.openxmlformats.org/officeDocument/2006/docPropsVTypes"/>
</file>