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FAM20A is a member of the Fam20 family of secretory pathway kinases, a group that includes three principal paralogs: FAM20A, FAM20B, and FAM20C. FAM20A orthologs are evident in vertebrates such as human and mouse, and its emergence within this family is consistent with an early duplication event in the eukaryotic kinase complement that gave rise to a catalytically active kinase (FAM20C) and a pseudokinase (FAM20A) with a specialized regulatory function (du2023regulationofsecretory pages 11-12, zhang2018structureandevolution pages 1-2, o’sullivan2011wholeexomesequencingidentifies pages 2-4). Unlike conventional protein kinases, the Fam20 family diverged early from the core set of eukaryotic kinases and has since evolved to regulate extracellular phosphorylation events; FAM20A’s divergence is marked by its lack of key catalytic residues while retaining a conserved kinase fold, thereby placing it within an evolutionarily ancient branch of the secretory kinome (zhang2018structureandevolution pages 2-3, wang2013fam20amutationscan pages 12-15).</w:t>
      </w:r>
    </w:p>
    <w:p>
      <w:pPr>
        <w:numPr>
          <w:ilvl w:val="0"/>
          <w:numId w:val="1001"/>
        </w:numPr>
      </w:pPr>
      <w:r>
        <w:t xml:space="preserve">Reaction Catalyzed – The canonical biochemical reaction representative of the Fam20 kinase activity is the ATP‐dependent phosphorylation of serine/threonine residues on secreted target proteins. In the context of the FAM20A–FAM20C complex, the reaction can be represented as:</w:t>
      </w:r>
      <w:r>
        <w:br/>
      </w:r>
      <w:r>
        <w:t xml:space="preserve">  ATP + [protein]–(L‑serine or L‑threonine) → ADP + [protein]–(L‑serine/threonine‑phosphate) + H⁺</w:t>
      </w:r>
      <w:r>
        <w:br/>
      </w:r>
      <w:r>
        <w:t xml:space="preserve">Although FAM20A itself has no intrinsic phosphotransfer activity, its role is to enhance FAM20C’s kinase activity toward this reaction, thereby indirectly ensuring efficient extracellular phosphorylation (tagliabracci2013secretedproteinkinases pages 7-8, xiao2013crystalstructureof pages 1-1).</w:t>
      </w:r>
    </w:p>
    <w:p>
      <w:pPr>
        <w:numPr>
          <w:ilvl w:val="0"/>
          <w:numId w:val="1001"/>
        </w:numPr>
      </w:pPr>
      <w:r>
        <w:t xml:space="preserve">Cofactor Requirements – Active kinases of the Fam20 family, such as FAM20C, generally require divalent metal ions (for example, Mg²⁺ or Mn²⁺) to coordinate ATP binding and stabilize the transition state during phosphotransfer. Structural analyses indicate that while FAM20C exhibits a dependence on such cofactors for robust catalytic activity, FAM20A, as a pseudokinase, binds ATP in a catalytically incompetent manner and does not require a traditional cofactor to perform its regulatory function (zhang2018structureandevolution pages 1-2, du2023regulationofsecretory pages 11-12).</w:t>
      </w:r>
    </w:p>
    <w:p>
      <w:pPr>
        <w:numPr>
          <w:ilvl w:val="0"/>
          <w:numId w:val="1001"/>
        </w:numPr>
      </w:pPr>
      <w:r>
        <w:t xml:space="preserve">Substrate Specificity – The substrate specificity observed in Fam20 kinase activity is largely defined by FAM20C, whose phosphorylation reactions target serine residues typically within the consensus motif S‑x‑E/pS. The formation of the FAM20A–FAM20C complex enhances FAM20C’s ability to recognize and phosphorylate extracellular matrix proteins, including enamel matrix proteins that are essential for dental biomineralization. Consequently, while FAM20A does not directly phosphorylate substrates, its function is critical for ensuring that FAM20C exhibits high substrate specificity for proteins involved in enamel formation (du2023regulationofsecretory pages 11-12, tagliabracci2013secretedproteinkinases pages 7-8, smith2017amelogenesisimperfecta;genes pages 10-11).</w:t>
      </w:r>
    </w:p>
    <w:p>
      <w:pPr>
        <w:numPr>
          <w:ilvl w:val="0"/>
          <w:numId w:val="1001"/>
        </w:numPr>
      </w:pPr>
      <w:r>
        <w:t xml:space="preserve">Structure – FAM20A adopts a kinase-like fold that mirrors the central architecture of conventional protein kinases, including a glycine-rich loop and regions corresponding to the catalytic subdomain. However, key catalytic residues typically required for phosphotransfer are altered or absent in FAM20A, rendering it catalytically inactive. High-resolution crystallographic and structural modeling studies of the FAM20A–FAM20C heterodimer reveal that FAM20A engages FAM20C via an interaction interface of approximately 1000 Å², involving structural elements such as the Kβ3–Kα3 and Kβ8–Kα6 loops. These features not only maintain the overall kinase fold but also promote an allosteric activation mechanism whereby the presence of FAM20A enhances FAM20C’s enzymatic efficiency despite FAM20A’s lack of direct catalytic capability (zhang2018structureandevolution pages 10-11, escorcia2021fam20adansla pages 36-41, xiao2013crystalstructureof pages 5-6).</w:t>
      </w:r>
    </w:p>
    <w:p>
      <w:pPr>
        <w:numPr>
          <w:ilvl w:val="0"/>
          <w:numId w:val="1001"/>
        </w:numPr>
      </w:pPr>
      <w:r>
        <w:t xml:space="preserve">Regulation – The regulatory function of FAM20A is exerted through its capacity to form a stable complex with FAM20C, thereby inducing an allosteric effect that potentiates FAM20C’s phosphorylation of extracellular substrates. Unlike many active kinases that are regulated by phosphorylation of activation loops or ubiquitination, FAM20A’s regulation is predominantly mediated by protein–protein interactions without the need for additional post-translational modifications. Disruption of the FAM20A–FAM20C complex, either through mutation of critical interface residues or conformational changes, leads to diminished kinase activity and is directly associated with dental pathologies such as amelogenesis imperfecta (du2023regulationofsecretory pages 11-12, tagliabracci2013secretedproteinkinases pages 7-8, wang2013fam20amutationscan pages 12-15).</w:t>
      </w:r>
    </w:p>
    <w:p>
      <w:pPr>
        <w:numPr>
          <w:ilvl w:val="0"/>
          <w:numId w:val="1001"/>
        </w:numPr>
      </w:pPr>
      <w:r>
        <w:t xml:space="preserve">Function – FAM20A serves an indispensable role in dental biomineralization by functioning as an allosteric activator of the Golgi-resident kinase FAM20C. Its predominant tissue expression is found in enamel-forming cells, such as ameloblasts, where it facilitates the phosphorylation of secreted matrix proteins that underpin the structural organization and mineral deposition in tooth enamel. In addition to enamel biomineralization, FAM20A is involved in cellular processes that regulate epithelial proliferation and differentiation, and its expression has been linked to pathological conditions including enamel–renal syndrome, which presents with defects in enamel formation together with renal calcifications (o’sullivan2011wholeexomesequencingidentifies pages 2-4, wang2013fam20amutationscan pages 7-12, vogel2012amelogenesisimperfectaand pages 1-2, patel2021quantificationoffam20a pages 13-14).</w:t>
      </w:r>
    </w:p>
    <w:p>
      <w:pPr>
        <w:numPr>
          <w:ilvl w:val="0"/>
          <w:numId w:val="1001"/>
        </w:numPr>
      </w:pPr>
      <w:r>
        <w:t xml:space="preserve">Other Comments – Due to its classification as a pseudokinase, FAM20A does not possess measurable intrinsic phosphotransfer activity and appears resistant to conventional kinase inhibition strategies. No selective inhibitors for FAM20A have been reported; instead, its biological activity is modulated through complex formation with FAM20C. Furthermore, mutations in FAM20A have been genetically linked to enamel–renal syndrome and related enamel defects, and variations in its expression have been observed in some cancer contexts, where aberrant FAM20A function may contribute to altered extracellular matrix phosphorylation (du2023regulationofsecretory pages 12-12, wang2013fam20amutationscan pages 7-12, patel2021quantificationoffam20a pages 13-14).</w:t>
      </w:r>
    </w:p>
    <w:p>
      <w:pPr>
        <w:numPr>
          <w:ilvl w:val="0"/>
          <w:numId w:val="1001"/>
        </w:numPr>
      </w:pPr>
      <w:r>
        <w:t xml:space="preserve">References</w:t>
      </w:r>
      <w:r>
        <w:br/>
      </w:r>
    </w:p>
    <w:p>
      <w:pPr>
        <w:numPr>
          <w:ilvl w:val="0"/>
          <w:numId w:val="1001"/>
        </w:numPr>
      </w:pPr>
      <w:r>
        <w:t xml:space="preserve">du2023regulationofsecretory pages 11-12</w:t>
      </w:r>
      <w:r>
        <w:br/>
      </w:r>
    </w:p>
    <w:p>
      <w:pPr>
        <w:numPr>
          <w:ilvl w:val="0"/>
          <w:numId w:val="1001"/>
        </w:numPr>
      </w:pPr>
      <w:r>
        <w:t xml:space="preserve">o’sullivan2011wholeexomesequencingidentifies pages 2-4</w:t>
      </w:r>
      <w:r>
        <w:br/>
      </w:r>
    </w:p>
    <w:p>
      <w:pPr>
        <w:numPr>
          <w:ilvl w:val="0"/>
          <w:numId w:val="1001"/>
        </w:numPr>
      </w:pPr>
      <w:r>
        <w:t xml:space="preserve">smith2017amelogenesisimperfecta;genes pages 10-11</w:t>
      </w:r>
      <w:r>
        <w:br/>
      </w:r>
    </w:p>
    <w:p>
      <w:pPr>
        <w:numPr>
          <w:ilvl w:val="0"/>
          <w:numId w:val="1001"/>
        </w:numPr>
      </w:pPr>
      <w:r>
        <w:t xml:space="preserve">vogel2012amelogenesisimperfectaand pages 1-2</w:t>
      </w:r>
      <w:r>
        <w:br/>
      </w:r>
    </w:p>
    <w:p>
      <w:pPr>
        <w:numPr>
          <w:ilvl w:val="0"/>
          <w:numId w:val="1001"/>
        </w:numPr>
      </w:pPr>
      <w:r>
        <w:t xml:space="preserve">wang2013fam20amutationscan pages 12-15</w:t>
      </w:r>
      <w:r>
        <w:br/>
      </w:r>
    </w:p>
    <w:p>
      <w:pPr>
        <w:numPr>
          <w:ilvl w:val="0"/>
          <w:numId w:val="1001"/>
        </w:numPr>
      </w:pPr>
      <w:r>
        <w:t xml:space="preserve">xiao2013crystalstructureof pages 1-1</w:t>
      </w:r>
      <w:r>
        <w:br/>
      </w:r>
    </w:p>
    <w:p>
      <w:pPr>
        <w:numPr>
          <w:ilvl w:val="0"/>
          <w:numId w:val="1001"/>
        </w:numPr>
      </w:pPr>
      <w:r>
        <w:t xml:space="preserve">xiao2013crystalstructureof pages 5-6</w:t>
      </w:r>
      <w:r>
        <w:br/>
      </w:r>
    </w:p>
    <w:p>
      <w:pPr>
        <w:numPr>
          <w:ilvl w:val="0"/>
          <w:numId w:val="1001"/>
        </w:numPr>
      </w:pPr>
      <w:r>
        <w:t xml:space="preserve">xiao2013crystalstructureof pages 6-6</w:t>
      </w:r>
      <w:r>
        <w:br/>
      </w:r>
    </w:p>
    <w:p>
      <w:pPr>
        <w:numPr>
          <w:ilvl w:val="0"/>
          <w:numId w:val="1001"/>
        </w:numPr>
      </w:pPr>
      <w:r>
        <w:t xml:space="preserve">xu2021fam20cinhuman pages 1-2</w:t>
      </w:r>
      <w:r>
        <w:br/>
      </w:r>
    </w:p>
    <w:p>
      <w:pPr>
        <w:numPr>
          <w:ilvl w:val="0"/>
          <w:numId w:val="1001"/>
        </w:numPr>
      </w:pPr>
      <w:r>
        <w:t xml:space="preserve">zhang2018structureandevolution pages 1-2</w:t>
      </w:r>
      <w:r>
        <w:br/>
      </w:r>
    </w:p>
    <w:p>
      <w:pPr>
        <w:numPr>
          <w:ilvl w:val="0"/>
          <w:numId w:val="1001"/>
        </w:numPr>
      </w:pPr>
      <w:r>
        <w:t xml:space="preserve">zhang2018structureandevolution pages 10-11</w:t>
      </w:r>
      <w:r>
        <w:br/>
      </w:r>
    </w:p>
    <w:p>
      <w:pPr>
        <w:numPr>
          <w:ilvl w:val="0"/>
          <w:numId w:val="1001"/>
        </w:numPr>
      </w:pPr>
      <w:r>
        <w:t xml:space="preserve">du2023regulationofsecretory pages 4-5</w:t>
      </w:r>
      <w:r>
        <w:br/>
      </w:r>
    </w:p>
    <w:p>
      <w:pPr>
        <w:numPr>
          <w:ilvl w:val="0"/>
          <w:numId w:val="1001"/>
        </w:numPr>
      </w:pPr>
      <w:r>
        <w:t xml:space="preserve">tagliabracci2013secretedproteinkinases pages 7-8</w:t>
      </w:r>
      <w:r>
        <w:br/>
      </w:r>
    </w:p>
    <w:p>
      <w:pPr>
        <w:numPr>
          <w:ilvl w:val="0"/>
          <w:numId w:val="1001"/>
        </w:numPr>
      </w:pPr>
      <w:r>
        <w:t xml:space="preserve">wang2013fam20amutationscan pages 7-12</w:t>
      </w:r>
      <w:r>
        <w:br/>
      </w:r>
    </w:p>
    <w:p>
      <w:pPr>
        <w:numPr>
          <w:ilvl w:val="0"/>
          <w:numId w:val="1001"/>
        </w:numPr>
      </w:pPr>
      <w:r>
        <w:t xml:space="preserve">patel2021quantificationoffam20a pages 13-14</w:t>
      </w:r>
      <w:r>
        <w:br/>
      </w:r>
    </w:p>
    <w:p>
      <w:pPr>
        <w:numPr>
          <w:ilvl w:val="0"/>
          <w:numId w:val="1001"/>
        </w:numPr>
      </w:pPr>
      <w:r>
        <w:t xml:space="preserve">tagliabracci2012secretedkinasephosphorylates pages 1-2</w:t>
      </w:r>
      <w:r>
        <w:br/>
      </w:r>
    </w:p>
    <w:p>
      <w:pPr>
        <w:numPr>
          <w:ilvl w:val="0"/>
          <w:numId w:val="1001"/>
        </w:numPr>
      </w:pPr>
      <w:r>
        <w:t xml:space="preserve">govitvattana2021molecularcloningof pages 6-8</w:t>
      </w:r>
      <w:r>
        <w:br/>
      </w:r>
    </w:p>
    <w:p>
      <w:pPr>
        <w:numPr>
          <w:ilvl w:val="0"/>
          <w:numId w:val="1001"/>
        </w:numPr>
      </w:pPr>
      <w:r>
        <w:t xml:space="preserve">govitvattana2021molecularcloningof pages 9-10</w:t>
      </w:r>
      <w:r>
        <w:br/>
      </w:r>
    </w:p>
    <w:p>
      <w:pPr>
        <w:numPr>
          <w:ilvl w:val="0"/>
          <w:numId w:val="1001"/>
        </w:numPr>
      </w:pPr>
      <w:r>
        <w:t xml:space="preserve">zhang2018structureandevolution pages 11-11</w:t>
      </w:r>
      <w:r>
        <w:br/>
      </w:r>
    </w:p>
    <w:p>
      <w:pPr>
        <w:numPr>
          <w:ilvl w:val="0"/>
          <w:numId w:val="1001"/>
        </w:numPr>
      </w:pPr>
      <w:r>
        <w:t xml:space="preserve">cozza2015“genuine”caseinkinase pages 9-12</w:t>
      </w:r>
    </w:p>
    <w:p>
      <w:pPr>
        <w:pStyle w:val="FirstParagraph"/>
      </w:pPr>
      <w:r>
        <w:t xml:space="preserve">References</w:t>
      </w:r>
    </w:p>
    <w:p>
      <w:pPr>
        <w:numPr>
          <w:ilvl w:val="0"/>
          <w:numId w:val="1002"/>
        </w:numPr>
      </w:pPr>
      <w:r>
        <w:t xml:space="preserve">(du2023regulationofsecretory pages 11-12):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(escorcia2021fam20adansla pages 36-41): VHS Escorcia. Fam20a dans la biominéralisation physiologique et ectopique. Unknown journal, 2021.</w:t>
      </w:r>
    </w:p>
    <w:p>
      <w:pPr>
        <w:numPr>
          <w:ilvl w:val="0"/>
          <w:numId w:val="1002"/>
        </w:numPr>
      </w:pPr>
      <w:r>
        <w:t xml:space="preserve">(zhang2018structureandevolution pages 1-2):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10-11):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(zhang2018structureandevolution pages 2-3):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(du2023regulationofsecretory pages 4-5):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(o’sullivan2011wholeexomesequencingidentifies pages 2-4): J. O’Sullivan, C. Bitu, Sarah B. Daly, J. Urquhart, M. Barron, S. Bhaskar, H. Martelli-Júnior, P. E. dos Santos Neto, M. Mansilla, J. Murray, R. Coletta, G. Black, and M. Dixon. Whole-exome sequencing identifies fam20a mutations as a cause of amelogenesis imperfecta and gingival hyperplasia syndrome. American journal of human genetics, 88 5:616-20, May 2011. URL: https://doi.org/10.1016/j.ajhg.2011.04.005, doi:10.1016/j.ajhg.2011.04.005. This article has 194 citations and is from a highest quality peer-reviewed journal.</w:t>
      </w:r>
    </w:p>
    <w:p>
      <w:pPr>
        <w:numPr>
          <w:ilvl w:val="0"/>
          <w:numId w:val="1002"/>
        </w:numPr>
      </w:pPr>
      <w:r>
        <w:t xml:space="preserve">(smith2017amelogenesisimperfecta;genes pages 10-11): Claire E. L. Smith, James A. Poulter, Agne Antanaviciute, Jennifer Kirkham, Steven J. Brookes, Chris F. Inglehearn, and Alan J. Mighell. Amelogenesis imperfecta; genes, proteins, and pathways. Frontiers in Physiology, Jun 2017. URL: https://doi.org/10.3389/fphys.2017.00435, doi:10.3389/fphys.2017.00435. This article has 319 citations and is from a peer-reviewed journal.</w:t>
      </w:r>
    </w:p>
    <w:p>
      <w:pPr>
        <w:numPr>
          <w:ilvl w:val="0"/>
          <w:numId w:val="1002"/>
        </w:numPr>
      </w:pPr>
      <w:r>
        <w:t xml:space="preserve">(tagliabracci2013secretedproteinkinases pages 7-8): Vincent S. Tagliabracci, Lorenzo A. Pinna, and Jack E. Dixon. Secreted protein kinases. Trends in Biochemical Sciences, 38:121-130, Mar 2013. URL: https://doi.org/10.1016/j.tibs.2012.11.008, doi:10.1016/j.tibs.2012.11.008. This article has 126 citations and is from a domain leading peer-reviewed journal.</w:t>
      </w:r>
    </w:p>
    <w:p>
      <w:pPr>
        <w:numPr>
          <w:ilvl w:val="0"/>
          <w:numId w:val="1002"/>
        </w:numPr>
      </w:pPr>
      <w:r>
        <w:t xml:space="preserve">(vogel2012amelogenesisimperfectaand pages 1-2): P. Vogel, Gwenn M Hansen, R. Read, R. Vance, M. Thiel, Jeff Liu, T. Wronski, Deon D. Smith, Sabrina Jeter-Jones, and R. Brommage. Amelogenesis imperfecta and other biomineralization defects in</w:t>
      </w:r>
      <w:r>
        <w:t xml:space="preserve"> </w:t>
      </w:r>
      <w:r>
        <w:t xml:space="preserve">fam20a</w:t>
      </w:r>
      <w:r>
        <w:t xml:space="preserve"> </w:t>
      </w:r>
      <w:r>
        <w:t xml:space="preserve">and</w:t>
      </w:r>
      <w:r>
        <w:t xml:space="preserve"> </w:t>
      </w:r>
      <w:r>
        <w:t xml:space="preserve">fam20c</w:t>
      </w:r>
      <w:r>
        <w:t xml:space="preserve"> </w:t>
      </w:r>
      <w:r>
        <w:t xml:space="preserve">null mice. Veterinary Pathology, 49:998-1017, Jun 2012. URL: https://doi.org/10.1177/0300985812453177, doi:10.1177/0300985812453177. This article has 137 citations and is from a domain leading peer-reviewed journal.</w:t>
      </w:r>
    </w:p>
    <w:p>
      <w:pPr>
        <w:numPr>
          <w:ilvl w:val="0"/>
          <w:numId w:val="1002"/>
        </w:numPr>
      </w:pPr>
      <w:r>
        <w:t xml:space="preserve">(wang2013fam20amutationscan pages 12-15): Shih-Kai Wang, P. Aref, Yuanyuan Hu, R. N. Milkovich, J. Simmer, M. El-khateeb, H. Daggag, Z. Baqain, and J. Hu. Fam20a mutations can cause enamel-renal syndrome (ers). PLoS Genetics, Feb 2013. URL: https://doi.org/10.1371/journal.pgen.1003302, doi:10.1371/journal.pgen.1003302. This article has 118 citations and is from a domain leading peer-reviewed journal.</w:t>
      </w:r>
    </w:p>
    <w:p>
      <w:pPr>
        <w:numPr>
          <w:ilvl w:val="0"/>
          <w:numId w:val="1002"/>
        </w:numPr>
      </w:pPr>
      <w:r>
        <w:t xml:space="preserve">(xiao2013crystalstructureof pages 1-1):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5-6):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(xiao2013crystalstructureof pages 6-6): Junyu Xiao, Vincent S. Tagliabracci, Jianzhong Wen, Soo-A Kim, and Jack E. Dixon. Crystal structure of the golgi casein kinase. Proceedings of the National Academy of Sciences, 110:10574-10579, Jun 2013. URL: https://doi.org/10.1073/pnas.1309211110, doi:10.1073/pnas.1309211110. This article has 78 citations.</w:t>
      </w:r>
    </w:p>
    <w:p>
      <w:pPr>
        <w:numPr>
          <w:ilvl w:val="0"/>
          <w:numId w:val="1002"/>
        </w:numPr>
      </w:pPr>
      <w:r>
        <w:t xml:space="preserve">(xu2021fam20cinhuman pages 1-2): Rongsheng Xu, Huidan Tan, Jiahui Zhang, Zhaoxin Yuan, Qiang Xie, and Lan Zhang. Fam20c in human diseases: emerging biological functions and therapeutic implications. Frontiers in Molecular Biosciences, Dec 2021. URL: https://doi.org/10.3389/fmolb.2021.790172, doi:10.3389/fmolb.2021.790172. This article has 17 citations and is from a peer-reviewed journal.</w:t>
      </w:r>
    </w:p>
    <w:p>
      <w:pPr>
        <w:numPr>
          <w:ilvl w:val="0"/>
          <w:numId w:val="1002"/>
        </w:numPr>
      </w:pPr>
      <w:r>
        <w:t xml:space="preserve">(zhang2018structureandevolution pages 11-11): Hui Zhang, Qinyu Zhu, Jixin Cui, Yuxin Wang, Mark J. Chen, Xing Guo, Vincent S. Tagliabracci, Jack E. Dixon, and Junyu Xiao. Structure and evolution of the fam20 kinases. Nature Communications, Mar 2018. URL: https://doi.org/10.1038/s41467-018-03615-z, doi:10.1038/s41467-018-03615-z. This article has 80 citations and is from a highest quality peer-reviewed journal.</w:t>
      </w:r>
    </w:p>
    <w:p>
      <w:pPr>
        <w:numPr>
          <w:ilvl w:val="0"/>
          <w:numId w:val="1002"/>
        </w:numPr>
      </w:pPr>
      <w:r>
        <w:t xml:space="preserve">(cozza2015“genuine”caseinkinase pages 9-12): Giorgio Cozza, Vincent S. Tagliabracci, Jack E. Dixon, and Lorenzo A. Pinna. “genuine” casein kinase (fam20c): the mother of the phosphosecretome. Kinomics, pages 47-62, Sep 2015. URL: https://doi.org/10.1002/9783527683031.ch2, doi:10.1002/9783527683031.ch2. This article has 2 citations.</w:t>
      </w:r>
    </w:p>
    <w:p>
      <w:pPr>
        <w:numPr>
          <w:ilvl w:val="0"/>
          <w:numId w:val="1002"/>
        </w:numPr>
      </w:pPr>
      <w:r>
        <w:t xml:space="preserve">(du2023regulationofsecretory pages 12-12): Shaonan Du, Chen Zhu, Xiaolin Ren, Xin Chen, Xiaohui Cui, and Shu Guan. Regulation of secretory pathway kinase or kinase-like proteins in human cancers. Frontiers in Immunology, Feb 2023. URL: https://doi.org/10.3389/fimmu.2023.942849, doi:10.3389/fimmu.2023.942849. This article has 3 citations and is from a peer-reviewed journal.</w:t>
      </w:r>
    </w:p>
    <w:p>
      <w:pPr>
        <w:numPr>
          <w:ilvl w:val="0"/>
          <w:numId w:val="1002"/>
        </w:numPr>
      </w:pPr>
      <w:r>
        <w:t xml:space="preserve">(wang2013fam20amutationscan pages 7-12): Shih-Kai Wang, P. Aref, Yuanyuan Hu, R. N. Milkovich, J. Simmer, M. El-khateeb, H. Daggag, Z. Baqain, and J. Hu. Fam20a mutations can cause enamel-renal syndrome (ers). PLoS Genetics, Feb 2013. URL: https://doi.org/10.1371/journal.pgen.1003302, doi:10.1371/journal.pgen.1003302. This article has 118 citations and is from a domain leading peer-reviewed journal.</w:t>
      </w:r>
    </w:p>
    <w:p>
      <w:pPr>
        <w:numPr>
          <w:ilvl w:val="0"/>
          <w:numId w:val="1002"/>
        </w:numPr>
      </w:pPr>
      <w:r>
        <w:t xml:space="preserve">(govitvattana2021molecularcloningof pages 6-8): Nattanan Govitvattana, Masaru Kaku, Yoshio Ohyama, Haytham Jaha, I-Ping Lin, Hanna Mochida, Prasit Pavasant, and Yoshiyuki Mochida. Molecular cloning of mouse homologue of enamel protein c4orf26 and its phosphorylation by fam20c. Calcified Tissue International, 109:445-454, Apr 2021. URL: https://doi.org/10.1007/s00223-021-00847-y, doi:10.1007/s00223-021-00847-y. This article has 3 citations and is from a peer-reviewed journal.</w:t>
      </w:r>
    </w:p>
    <w:p>
      <w:pPr>
        <w:numPr>
          <w:ilvl w:val="0"/>
          <w:numId w:val="1002"/>
        </w:numPr>
      </w:pPr>
      <w:r>
        <w:t xml:space="preserve">(govitvattana2021molecularcloningof pages 9-10): Nattanan Govitvattana, Masaru Kaku, Yoshio Ohyama, Haytham Jaha, I-Ping Lin, Hanna Mochida, Prasit Pavasant, and Yoshiyuki Mochida. Molecular cloning of mouse homologue of enamel protein c4orf26 and its phosphorylation by fam20c. Calcified Tissue International, 109:445-454, Apr 2021. URL: https://doi.org/10.1007/s00223-021-00847-y, doi:10.1007/s00223-021-00847-y. This article has 3 citations and is from a peer-reviewed journal.</w:t>
      </w:r>
    </w:p>
    <w:p>
      <w:pPr>
        <w:numPr>
          <w:ilvl w:val="0"/>
          <w:numId w:val="1002"/>
        </w:numPr>
      </w:pPr>
      <w:r>
        <w:t xml:space="preserve">(patel2021quantificationoffam20a pages 13-14): Vaksha Patel, Enriko Klootwijk, Gail Whiting, Detlef Bockenhauer, Keith Siew, Stephen Walsh, Markus Bleich, Nina Himmerkus, Graciana Jaureguiberry, Naomi Issler, Jasminka Godovac‐Zimmermann, Robert Kleta, and Jun Wheeler. Quantification of fam20a in human milk and identification of calcium metabolism proteins. Physiological Reports, Dec 2021. URL: https://doi.org/10.14814/phy2.15150, doi:10.14814/phy2.15150. This article has 4 citations and is from a peer-reviewed journal.</w:t>
      </w:r>
    </w:p>
    <w:p>
      <w:pPr>
        <w:numPr>
          <w:ilvl w:val="0"/>
          <w:numId w:val="1002"/>
        </w:numPr>
      </w:pPr>
      <w:r>
        <w:t xml:space="preserve">(tagliabracci2012secretedkinasephosphorylates pages 1-2): Vincent S. Tagliabracci, James L. Engel, Jianzhong Wen, Sandra E. Wiley, Carolyn A. Worby, Lisa N. Kinch, Junyu Xiao, Nick V. Grishin, and Jack E. Dixon. Secreted kinase phosphorylates extracellular proteins that regulate biomineralization. Science, 336:1150-1153, Jun 2012. URL: https://doi.org/10.1126/science.1217817, doi:10.1126/science.1217817. This article has 495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