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IRAK3 belongs to the interleukin‐1 receptor‑associated kinase (IRAK) family, a group of proteins that also includes IRAK‐1, IRAK‐2, and IRAK‑4. Unlike its catalytically active counterparts, IRAK3 has evolved into a pseudokinase with specialized regulatory functions. This protein is conserved among vertebrates and is predominantly present in species that possess sophisticated innate immune systems. Within the context of the human kinome, IRAK3 is grouped with other IRAK family members that share a common domain organization, including an N‑terminal death domain and a centrally located kinase (or pseudokinase) domain. Phylogenetic analyses suggest that while IRAK‑1 and IRAK‑4 have retained catalytic activity necessary for signal propagation downstream of IL‑1 receptor family members and Toll‑like receptors (TLRs), IRAK3 diverged by acquiring key amino acid substitutions at its catalytic residues, a modification that established its role as a negative modulator of inflammation (janssens2003functionaldiversityand pages 2-3, flannery2010theinterleukin1receptorassociated pages 1-5).</w:t>
      </w:r>
    </w:p>
    <w:p>
      <w:pPr>
        <w:numPr>
          <w:ilvl w:val="0"/>
          <w:numId w:val="1001"/>
        </w:numPr>
      </w:pPr>
      <w:r>
        <w:t xml:space="preserve">Reaction Catalyzed</w:t>
      </w:r>
      <w:r>
        <w:br/>
      </w:r>
      <w:r>
        <w:t xml:space="preserve">As a member of the protein kinase family, active kinases usually catalyze the transfer of a phosphate group from ATP to a serine or threonine residue on a substrate protein, following the reaction: ATP + [protein]‑(L‑serine or L‑threonine) → ADP + [protein]‑(L‑serine/threonine)‑phosphate + H⁺. However, IRAK3 is a pseudokinase due to substitutions in its catalytic motifs, including the absence of the critical catalytic aspartate residue in the conserved DFG motif; as a result, it does not perform classical phosphorylation reactions (jain2014il1receptorassociatedkinase pages 2-3, janssens2003functionaldiversityand pages 2-3, bahia2015interleukin1receptorassociated pages 3-4).</w:t>
      </w:r>
    </w:p>
    <w:p>
      <w:pPr>
        <w:numPr>
          <w:ilvl w:val="0"/>
          <w:numId w:val="1001"/>
        </w:numPr>
      </w:pPr>
      <w:r>
        <w:t xml:space="preserve">Cofactor Requirements</w:t>
      </w:r>
      <w:r>
        <w:br/>
      </w:r>
      <w:r>
        <w:t xml:space="preserve">In catalytically active serine/threonine kinases, the presence of divalent cations such as Mg²⁺ is typically essential to facilitate ATP binding and phosphoryl transfer. While IRAK3 retains an ATP-binding pocket that features an invariant lysine residue important for nucleotide binding, it does not exhibit kinase activity; thus, although its structure is consistent with that of Mg²⁺‑dependent kinases, no cofactor-dependent catalytic activity has been demonstrated for IRAK3 (flannery2010theinterleukin1receptorassociated pages 43-47, lange2021dimericstructureof pages 3-4).</w:t>
      </w:r>
    </w:p>
    <w:p>
      <w:pPr>
        <w:numPr>
          <w:ilvl w:val="0"/>
          <w:numId w:val="1001"/>
        </w:numPr>
      </w:pPr>
      <w:r>
        <w:t xml:space="preserve">Substrate Specificity</w:t>
      </w:r>
      <w:r>
        <w:br/>
      </w:r>
      <w:r>
        <w:t xml:space="preserve">For active kinases, substrate specificity is often dictated by recognition of consensus motifs, such as the RxRxxp[S/T] motif observed in many serine/threonine kinases. In contrast, IRAK3 lacks the catalytic functionality required to phosphorylate substrates. Because the protein is enzymatically inactive, no specific consensus substrate motifs or phosphorylation preferences have been defined for IRAK3 (jain2014il1receptorassociatedkinase pages 2-3, bahia2015interleukin1receptorassociated pages 3-4).</w:t>
      </w:r>
    </w:p>
    <w:p>
      <w:pPr>
        <w:numPr>
          <w:ilvl w:val="0"/>
          <w:numId w:val="1001"/>
        </w:numPr>
      </w:pPr>
      <w:r>
        <w:t xml:space="preserve">Structure</w:t>
      </w:r>
      <w:r>
        <w:br/>
      </w:r>
      <w:r>
        <w:t xml:space="preserve">IRAK3 is organized into several domains reminiscent of its catalytically active IRAK family members. It contains an N‑terminal death domain (DD) that mediates protein–protein interactions essential for its recruitment to receptor complexes such as the MyD88 complex, followed by a central pseudokinase domain that, despite retaining the overall bilobed kinase fold, harbors key amino acid substitutions responsible for its lack of catalytic activity. Structural studies have revealed that the pseudokinase domain of IRAK3 adopts a “closed”, pseudoactive conformation in which the αC‑helix is oriented inward, and the regulatory hydrophobic spine is partially assembled. Notably, the G‑loop is uniquely stabilized by hydrophobic interactions—centered around a conserved phenylalanine residue—resulting in a rigid conformation even in the absence of ATP (lange2021dimericstructureof pages 1-3, lange2021dimericstructureof pages 5-6). Furthermore, IRAK3 forms a head‑to‑head dimer through interactions mediated by its pseudokinase domain, including contacts involving the αC‑helix and additional interface residues; such dimerization is proposed to facilitate its allosteric inhibitory role by stabilizing a conformation incompatible with substrate phosphorylation (lange2021dimericstructureof pages 1-3, lange2021dimericstructureof pages 3-4). Although an invariant lysine residue (for example, K192) is maintained within the ATP binding pocket, other features important for kinase activity—such as a modified DFG motif (often observed as DFA) and alterations in the catalytic loop—emphasize its divergence from active kinases (flannery2010theinterleukin1receptorassociated pages 43-47, li2005il1receptor–associatedkinase pages 1-2).</w:t>
      </w:r>
    </w:p>
    <w:p>
      <w:pPr>
        <w:numPr>
          <w:ilvl w:val="0"/>
          <w:numId w:val="1001"/>
        </w:numPr>
      </w:pPr>
      <w:r>
        <w:t xml:space="preserve">Regulation</w:t>
      </w:r>
      <w:r>
        <w:br/>
      </w:r>
      <w:r>
        <w:t xml:space="preserve">IRAK3 functions as a key negative regulator in the IL‑1R and TLR signaling cascades by modulating the assembly and disassembly of the receptor complex. Its primary regulatory mechanism involves inhibition of the dissociation of IRAK1 and IRAK4 from the MyD88 receptor complex, a process that normally leads to downstream activation of NF‑κB. By stabilizing this complex, IRAK3 prevents the necessary phosphorylation events on IRAK1 and IRAK4, thereby dampening the propagation of the pro‑inflammatory signal (flannery2010theinterleukin1receptorassociated pages 16-20, flannery2010theinterleukin1receptorassociated pages 20-24). In addition, studies indicate that IRAK3 can selectively inhibit the alternative NF‑κB pathway while allowing limited or altered activation of NF‑κB transcriptional programs; for instance, under certain conditions such as IL‑33–induced lung inflammation, IRAK3 positively regulates the expression of specific mRNAs, including IL6, CSF3, CXCL2, and CCL5 in dendritic cells (zho2013irak‐mmediatestoll‐like pages 1-2). Post‑translational modifications that typically regulate kinase activity, such as phosphorylation or ubiquitination, have not been delineated as major regulatory events for IRAK3; instead, its regulation is largely mediated by protein–protein interactions and conformational rearrangements, including dimerization that may be influenced by redox status through disulfide bridge formation (horne2021forwhomthe pages 2-2, su2009theinterleukin1receptorassociated pages 8-9, su2009theinterleukin1receptorassociated pages 9-10). Expression of IRAK3 is also tightly controlled, with inducible expression being predominantly restricted to monocytes, macrophages, and dendritic cells, which further underscores its specialized role in modulating innate immune responses (mahmoud2023modulationofirak pages 4-6, ringwood2008theinvolvementof pages 5-6).</w:t>
      </w:r>
    </w:p>
    <w:p>
      <w:pPr>
        <w:numPr>
          <w:ilvl w:val="0"/>
          <w:numId w:val="1001"/>
        </w:numPr>
      </w:pPr>
      <w:r>
        <w:t xml:space="preserve">Function</w:t>
      </w:r>
      <w:r>
        <w:br/>
      </w:r>
      <w:r>
        <w:t xml:space="preserve">IRAK3 plays a central role in the regulation of innate immune signaling by functioning as an inhibitory modulator that prevents excessive inflammatory responses. It is predominantly expressed in cells of the myeloid lineage such as monocytes, macrophages, and dendritic cells. Functionally, IRAK3 inhibits the dissociation of IRAK1 and IRAK4 from the MyD88 receptor complex following stimulation by Toll‑like receptors or the interleukin‑1 receptor, which in turn prevents the full activation of NF‑κB and subsequent transcription of pro‑inflammatory cytokines. This inhibitory action contributes to the phenomena of endotoxin tolerance, wherein repeated exposure to TLR ligands results in hyporesponsiveness. In certain contexts, such as during IL‑33–induced inflammation in the lung, IRAK3 has also been reported to positively influence the expression of cytokine and chemokine mRNAs (IL6, CSF3, CXCL2, and CCL5) in dendritic cells, indicating that its role may differ according to the cellular context and nature of the stimulus (flannery2010theinterleukin1receptorassociated pages 16-20, flannery2010theinterleukin1receptorassociated pages 20-24, tunalı2023il1receptor–associatedkinase3 pages 7-9). Moreover, by controlling the amplitude and duration of TLR/IL‑1R signaling, IRAK3 contributes to the maintenance of immune homeostasis and prevents pathological inflammatory conditions such as sepsis and chronic inflammatory diseases (rhyasen2015iraksignallingin pages 2-3, ringwood2008theinvolvementof pages 10-13).</w:t>
      </w:r>
    </w:p>
    <w:p>
      <w:pPr>
        <w:numPr>
          <w:ilvl w:val="0"/>
          <w:numId w:val="1001"/>
        </w:numPr>
      </w:pPr>
      <w:r>
        <w:t xml:space="preserve">Other Comments</w:t>
      </w:r>
      <w:r>
        <w:br/>
      </w:r>
      <w:r>
        <w:t xml:space="preserve">Given its pseudokinase nature, IRAK3 is not a target for inhibition via classical kinase inhibitors aimed at blocking catalytic activity. However, its biological role as an immune checkpoint has garnered interest in the context of cancer immunotherapy, where its deletion or blockade in myeloid cells has been associated with enhanced antitumor immunity (tunalı2023il1receptor–associatedkinase3 pages 7-9). Additionally, polymorphisms in the IRAK3 gene have been identified as predictive genetic markers for responsiveness to anti‑TNF therapy in rheumatoid arthritis, underscoring its clinical relevance in autoimmune diseases (wiese2020investigationalirak4inhibitors pages 17-21). Although no specific inhibitors that directly target the scaffolding or regulatory functions of IRAK3 have been reported, its involvement in modulating signaling complexes makes it an attractive candidate for therapeutic intervention by new modalities such as protein–protein interaction disruptors or PROTACs (tunalı2023il1receptor–associatedkinase3 pages 7-9, wiese2020investigationalirak4inhibitors pages 17-21).</w:t>
      </w:r>
    </w:p>
    <w:p>
      <w:pPr>
        <w:numPr>
          <w:ilvl w:val="0"/>
          <w:numId w:val="1001"/>
        </w:numPr>
      </w:pPr>
      <w:r>
        <w:t xml:space="preserve">References</w:t>
      </w:r>
      <w:r>
        <w:br/>
      </w:r>
    </w:p>
    <w:p>
      <w:pPr>
        <w:numPr>
          <w:ilvl w:val="0"/>
          <w:numId w:val="1001"/>
        </w:numPr>
      </w:pPr>
      <w:r>
        <w:t xml:space="preserve">flannery2010theinterleukin1receptorassociated pages 16-20</w:t>
      </w:r>
      <w:r>
        <w:br/>
      </w:r>
    </w:p>
    <w:p>
      <w:pPr>
        <w:numPr>
          <w:ilvl w:val="0"/>
          <w:numId w:val="1001"/>
        </w:numPr>
      </w:pPr>
      <w:r>
        <w:t xml:space="preserve">flannery2010theinterleukin1receptorassociated pages 20-24</w:t>
      </w:r>
      <w:r>
        <w:br/>
      </w:r>
    </w:p>
    <w:p>
      <w:pPr>
        <w:numPr>
          <w:ilvl w:val="0"/>
          <w:numId w:val="1001"/>
        </w:numPr>
      </w:pPr>
      <w:r>
        <w:t xml:space="preserve">jain2014il1receptorassociatedkinase pages 2-3</w:t>
      </w:r>
      <w:r>
        <w:br/>
      </w:r>
    </w:p>
    <w:p>
      <w:pPr>
        <w:numPr>
          <w:ilvl w:val="0"/>
          <w:numId w:val="1001"/>
        </w:numPr>
      </w:pPr>
      <w:r>
        <w:t xml:space="preserve">janssens2003functionaldiversityand pages 2-3</w:t>
      </w:r>
      <w:r>
        <w:br/>
      </w:r>
    </w:p>
    <w:p>
      <w:pPr>
        <w:numPr>
          <w:ilvl w:val="0"/>
          <w:numId w:val="1001"/>
        </w:numPr>
      </w:pPr>
      <w:r>
        <w:t xml:space="preserve">lange2021dimericstructureof pages 1-3</w:t>
      </w:r>
      <w:r>
        <w:br/>
      </w:r>
    </w:p>
    <w:p>
      <w:pPr>
        <w:numPr>
          <w:ilvl w:val="0"/>
          <w:numId w:val="1001"/>
        </w:numPr>
      </w:pPr>
      <w:r>
        <w:t xml:space="preserve">lange2021dimericstructureof pages 3-4</w:t>
      </w:r>
      <w:r>
        <w:br/>
      </w:r>
    </w:p>
    <w:p>
      <w:pPr>
        <w:numPr>
          <w:ilvl w:val="0"/>
          <w:numId w:val="1001"/>
        </w:numPr>
      </w:pPr>
      <w:r>
        <w:t xml:space="preserve">lange2021dimericstructureof pages 5-6</w:t>
      </w:r>
      <w:r>
        <w:br/>
      </w:r>
    </w:p>
    <w:p>
      <w:pPr>
        <w:numPr>
          <w:ilvl w:val="0"/>
          <w:numId w:val="1001"/>
        </w:numPr>
      </w:pPr>
      <w:r>
        <w:t xml:space="preserve">li2005il1receptor–associatedkinase pages 1-2</w:t>
      </w:r>
      <w:r>
        <w:br/>
      </w:r>
    </w:p>
    <w:p>
      <w:pPr>
        <w:numPr>
          <w:ilvl w:val="0"/>
          <w:numId w:val="1001"/>
        </w:numPr>
      </w:pPr>
      <w:r>
        <w:t xml:space="preserve">mahmoud2023modulationofirak pages 4-6</w:t>
      </w:r>
      <w:r>
        <w:br/>
      </w:r>
    </w:p>
    <w:p>
      <w:pPr>
        <w:numPr>
          <w:ilvl w:val="0"/>
          <w:numId w:val="1001"/>
        </w:numPr>
      </w:pPr>
      <w:r>
        <w:t xml:space="preserve">martin2001interleukin1receptorassociatedkinase1 pages 2-4</w:t>
      </w:r>
      <w:r>
        <w:br/>
      </w:r>
    </w:p>
    <w:p>
      <w:pPr>
        <w:numPr>
          <w:ilvl w:val="0"/>
          <w:numId w:val="1001"/>
        </w:numPr>
      </w:pPr>
      <w:r>
        <w:t xml:space="preserve">nguyen2020analysisofinterleukin1 pages 23-24</w:t>
      </w:r>
      <w:r>
        <w:br/>
      </w:r>
    </w:p>
    <w:p>
      <w:pPr>
        <w:numPr>
          <w:ilvl w:val="0"/>
          <w:numId w:val="1001"/>
        </w:numPr>
      </w:pPr>
      <w:r>
        <w:t xml:space="preserve">oseni2023themolecularbasis pages 21-23</w:t>
      </w:r>
      <w:r>
        <w:br/>
      </w:r>
    </w:p>
    <w:p>
      <w:pPr>
        <w:numPr>
          <w:ilvl w:val="0"/>
          <w:numId w:val="1001"/>
        </w:numPr>
      </w:pPr>
      <w:r>
        <w:t xml:space="preserve">patra2016recentprogressin pages 1-3</w:t>
      </w:r>
      <w:r>
        <w:br/>
      </w:r>
    </w:p>
    <w:p>
      <w:pPr>
        <w:numPr>
          <w:ilvl w:val="0"/>
          <w:numId w:val="1001"/>
        </w:numPr>
      </w:pPr>
      <w:r>
        <w:t xml:space="preserve">rhyasen2015iraksignallingin pages 2-3</w:t>
      </w:r>
      <w:r>
        <w:br/>
      </w:r>
    </w:p>
    <w:p>
      <w:pPr>
        <w:numPr>
          <w:ilvl w:val="0"/>
          <w:numId w:val="1001"/>
        </w:numPr>
      </w:pPr>
      <w:r>
        <w:t xml:space="preserve">ringwood2008theinvolvementof pages 5-6</w:t>
      </w:r>
      <w:r>
        <w:br/>
      </w:r>
    </w:p>
    <w:p>
      <w:pPr>
        <w:numPr>
          <w:ilvl w:val="0"/>
          <w:numId w:val="1001"/>
        </w:numPr>
      </w:pPr>
      <w:r>
        <w:t xml:space="preserve">su2009theinterleukin1receptorassociated pages 8-9</w:t>
      </w:r>
      <w:r>
        <w:br/>
      </w:r>
    </w:p>
    <w:p>
      <w:pPr>
        <w:numPr>
          <w:ilvl w:val="0"/>
          <w:numId w:val="1001"/>
        </w:numPr>
      </w:pPr>
      <w:r>
        <w:t xml:space="preserve">su2009theinterleukin1receptorassociated pages 9-10</w:t>
      </w:r>
      <w:r>
        <w:br/>
      </w:r>
    </w:p>
    <w:p>
      <w:pPr>
        <w:numPr>
          <w:ilvl w:val="0"/>
          <w:numId w:val="1001"/>
        </w:numPr>
      </w:pPr>
      <w:r>
        <w:t xml:space="preserve">tunalı2023il1receptor–associatedkinase3 pages 7-9</w:t>
      </w:r>
      <w:r>
        <w:br/>
      </w:r>
    </w:p>
    <w:p>
      <w:pPr>
        <w:numPr>
          <w:ilvl w:val="0"/>
          <w:numId w:val="1001"/>
        </w:numPr>
      </w:pPr>
      <w:r>
        <w:t xml:space="preserve">wiese2020investigationalirak4inhibitors pages 17-21</w:t>
      </w:r>
      <w:r>
        <w:br/>
      </w:r>
    </w:p>
    <w:p>
      <w:pPr>
        <w:numPr>
          <w:ilvl w:val="0"/>
          <w:numId w:val="1001"/>
        </w:numPr>
      </w:pPr>
      <w:r>
        <w:t xml:space="preserve">zhou2013irak‐mmediatestoll‐like pages 1-2</w:t>
      </w:r>
      <w:r>
        <w:br/>
      </w:r>
    </w:p>
    <w:p>
      <w:pPr>
        <w:numPr>
          <w:ilvl w:val="0"/>
          <w:numId w:val="1001"/>
        </w:numPr>
      </w:pPr>
      <w:r>
        <w:t xml:space="preserve">bahia2015interleukin1receptorassociated pages 3-4</w:t>
      </w:r>
      <w:r>
        <w:br/>
      </w:r>
    </w:p>
    <w:p>
      <w:pPr>
        <w:numPr>
          <w:ilvl w:val="0"/>
          <w:numId w:val="1001"/>
        </w:numPr>
      </w:pPr>
      <w:r>
        <w:t xml:space="preserve">horne2021forwhomthe pages 2-2</w:t>
      </w:r>
      <w:r>
        <w:br/>
      </w:r>
    </w:p>
    <w:p>
      <w:pPr>
        <w:numPr>
          <w:ilvl w:val="0"/>
          <w:numId w:val="1001"/>
        </w:numPr>
      </w:pPr>
      <w:r>
        <w:t xml:space="preserve">flannery2010theinterleukin1receptorassociated pages 43-47</w:t>
      </w:r>
      <w:r>
        <w:br/>
      </w:r>
    </w:p>
    <w:p>
      <w:pPr>
        <w:numPr>
          <w:ilvl w:val="0"/>
          <w:numId w:val="1001"/>
        </w:numPr>
      </w:pPr>
      <w:r>
        <w:t xml:space="preserve">ringwood2008theinvolvementof pages 10-13</w:t>
      </w:r>
      <w:r>
        <w:br/>
      </w:r>
    </w:p>
    <w:p>
      <w:pPr>
        <w:numPr>
          <w:ilvl w:val="0"/>
          <w:numId w:val="1001"/>
        </w:numPr>
      </w:pPr>
      <w:r>
        <w:t xml:space="preserve">zheng2022interleukinreceptorassociated pages 9-11</w:t>
      </w:r>
    </w:p>
    <w:p>
      <w:pPr>
        <w:pStyle w:val="FirstParagraph"/>
      </w:pPr>
      <w:r>
        <w:t xml:space="preserve">References</w:t>
      </w:r>
    </w:p>
    <w:p>
      <w:pPr>
        <w:numPr>
          <w:ilvl w:val="0"/>
          <w:numId w:val="1002"/>
        </w:numPr>
      </w:pPr>
      <w:r>
        <w:t xml:space="preserve">(flannery2010theinterleukin1receptorassociated pages 16-20): Sinead Flannery and Andrew G. Bowie. The interleukin-1 receptor-associated kinases: critical regulators of innate immune signalling. Biochemical Pharmacology, 80:1981-1991, Dec 2010. URL: https://doi.org/10.1016/j.bcp.2010.06.020, doi:10.1016/j.bcp.2010.06.020. This article has 393 citations and is from a domain leading peer-reviewed journal.</w:t>
      </w:r>
    </w:p>
    <w:p>
      <w:pPr>
        <w:numPr>
          <w:ilvl w:val="0"/>
          <w:numId w:val="1002"/>
        </w:numPr>
      </w:pPr>
      <w:r>
        <w:t xml:space="preserve">(flannery2010theinterleukin1receptorassociated pages 20-24): Sinead Flannery and Andrew G. Bowie. The interleukin-1 receptor-associated kinases: critical regulators of innate immune signalling. Biochemical Pharmacology, 80:1981-1991, Dec 2010. URL: https://doi.org/10.1016/j.bcp.2010.06.020, doi:10.1016/j.bcp.2010.06.020. This article has 393 citations and is from a domain leading peer-reviewed journal.</w:t>
      </w:r>
    </w:p>
    <w:p>
      <w:pPr>
        <w:numPr>
          <w:ilvl w:val="0"/>
          <w:numId w:val="1002"/>
        </w:numPr>
      </w:pPr>
      <w:r>
        <w:t xml:space="preserve">(jain2014il1receptorassociatedkinase pages 2-3): Ajay Jain, Sabina Kaczanowska, and Eduardo Davila. Il-1 receptor-associated kinase signaling and its role in inflammation, cancer progression, and therapy resistance. Frontiers in Immunology, Nov 2014. URL: https://doi.org/10.3389/fimmu.2014.00553, doi:10.3389/fimmu.2014.00553. This article has 218 citations and is from a peer-reviewed journal.</w:t>
      </w:r>
    </w:p>
    <w:p>
      <w:pPr>
        <w:numPr>
          <w:ilvl w:val="0"/>
          <w:numId w:val="1002"/>
        </w:numPr>
      </w:pPr>
      <w:r>
        <w:t xml:space="preserve">(janssens2003functionaldiversityand pages 2-3): Sophie Janssens and Rudi Beyaert. Functional diversity and regulation of different interleukin-1 receptor-associated kinase (irak) family members. Molecular Cell, 11:293-302, Feb 2003. URL: https://doi.org/10.1016/s1097-2765(03)00053-4, doi:10.1016/s1097-2765(03)00053-4. This article has 756 citations and is from a highest quality peer-reviewed journal.</w:t>
      </w:r>
    </w:p>
    <w:p>
      <w:pPr>
        <w:numPr>
          <w:ilvl w:val="0"/>
          <w:numId w:val="1002"/>
        </w:numPr>
      </w:pPr>
      <w:r>
        <w:t xml:space="preserve">(lange2021dimericstructureof pages 1-3):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3-4):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(lange2021dimericstructureof pages 5-6): Sven M. Lange, Marina I. Nelen, Philip Cohen, and Yogesh Kulathu. Dimeric structure of the pseudokinase irak3 suggests an allosteric mechanism for negative regulation. Structure, 29:238-251.e4, Mar 2021. URL: https://doi.org/10.1016/j.str.2020.11.004, doi:10.1016/j.str.2020.11.004. This article has 33 citations and is from a domain leading peer-reviewed journal.</w:t>
      </w:r>
    </w:p>
    <w:p>
      <w:pPr>
        <w:numPr>
          <w:ilvl w:val="0"/>
          <w:numId w:val="1002"/>
        </w:numPr>
      </w:pPr>
      <w:r>
        <w:t xml:space="preserve">(li2005il1receptor–associatedkinase pages 1-2): Hongmei Li, Esteban Cuartas, Weiguo Cui, Yongwon Choi, Todd D. Crawford, Hua Zhu Ke, Koichi S. Kobayashi, Richard A. Flavell, and Agnès Vignery. Il-1 receptor–associated kinase m is a central regulator of osteoclast differentiation and activation. The Journal of Experimental Medicine, 201:1169-1177, Apr 2005. URL: https://doi.org/10.1084/jem.20041444, doi:10.1084/jem.20041444. This article has 92 citations.</w:t>
      </w:r>
    </w:p>
    <w:p>
      <w:pPr>
        <w:numPr>
          <w:ilvl w:val="0"/>
          <w:numId w:val="1002"/>
        </w:numPr>
      </w:pPr>
      <w:r>
        <w:t xml:space="preserve">(mahmoud2023modulationofirak pages 4-6): Ismail Sami Mahmoud, Yazun Bashir Jarrar, and Febrimarsa. Modulation of irak enzymes as a therapeutic strategy against sars-cov-2 induced cytokine storm. Clinical and Experimental Medicine, 23:2909-2923, Apr 2023. URL: https://doi.org/10.1007/s10238-023-01064-7, doi:10.1007/s10238-023-01064-7. This article has 0 citations and is from a peer-reviewed journal.</w:t>
      </w:r>
    </w:p>
    <w:p>
      <w:pPr>
        <w:numPr>
          <w:ilvl w:val="0"/>
          <w:numId w:val="1002"/>
        </w:numPr>
      </w:pPr>
      <w:r>
        <w:t xml:space="preserve">(martin2001interleukin1receptorassociatedkinase1 pages 2-4): Michael U. Martin and Christian Kollewe. Interleukin-1 receptor-associated kinase-1 (irak-1): a self-regulatory adapter molecule in the signaling cascade of the toll/il-1 receptor family. Signal Transduction, 1:37-50, Nov 2001. URL: https://doi.org/10.1002/1615-4061(200111)1:1/2&lt;37::aid-sita37&gt;3.0.co;2-k, doi:10.1002/1615-4061(200111)1:1/2&lt;37::aid-sita37&gt;3.0.co;2-k. This article has 22 citations and is from a peer-reviewed journal.</w:t>
      </w:r>
    </w:p>
    <w:p>
      <w:pPr>
        <w:numPr>
          <w:ilvl w:val="0"/>
          <w:numId w:val="1002"/>
        </w:numPr>
      </w:pPr>
      <w:r>
        <w:t xml:space="preserve">(oseni2023themolecularbasis pages 21-23): Saheed Oluwasina Oseni, Corey Naar, Mirjana Pavlović, Waseem Asghar, James X. Hartmann, Gregg B. Fields, Nwadiuto Esiobu, and James Kumi-Diaka. The molecular basis and clinical consequences of chronic inflammation in prostatic diseases: prostatitis, benign prostatic hyperplasia, and prostate cancer. Cancers, 15:3110, Jun 2023. URL: https://doi.org/10.3390/cancers15123110, doi:10.3390/cancers15123110. This article has 42 citations and is from a peer-reviewed journal.</w:t>
      </w:r>
    </w:p>
    <w:p>
      <w:pPr>
        <w:numPr>
          <w:ilvl w:val="0"/>
          <w:numId w:val="1002"/>
        </w:numPr>
      </w:pPr>
      <w:r>
        <w:t xml:space="preserve">(patra2016recentprogressin pages 1-3): Mahesh Patra and Sangdun Choi. Recent progress in the molecular recognition and therapeutic importance of interleukin-1 receptor-associated kinase 4. Molecules, 21:1529, Nov 2016. URL: https://doi.org/10.3390/molecules21111529, doi:10.3390/molecules21111529. This article has 43 citations and is from a peer-reviewed journal.</w:t>
      </w:r>
    </w:p>
    <w:p>
      <w:pPr>
        <w:numPr>
          <w:ilvl w:val="0"/>
          <w:numId w:val="1002"/>
        </w:numPr>
      </w:pPr>
      <w:r>
        <w:t xml:space="preserve">(rhyasen2015iraksignallingin pages 2-3): Garrett W. Rhyasen, Garrett W. Rhyasen, Garrett W. Rhyasen, D. Starczynowski, and D. Starczynowski. Irak signalling in cancer. British Journal of Cancer, 112:232-237, Oct 2015. URL: https://doi.org/10.1038/bjc.2014.513, doi:10.1038/bjc.2014.513. This article has 199 citations and is from a domain leading peer-reviewed journal.</w:t>
      </w:r>
    </w:p>
    <w:p>
      <w:pPr>
        <w:numPr>
          <w:ilvl w:val="0"/>
          <w:numId w:val="1002"/>
        </w:numPr>
      </w:pPr>
      <w:r>
        <w:t xml:space="preserve">(ringwood2008theinvolvementof pages 5-6): Lorna Ringwood and Liwu Li. The involvement of the interleukin-1 receptor-associated kinases (iraks) in cellular signaling networks controlling inflammation. Cytokine, 42:1-7, Apr 2008. URL: https://doi.org/10.1016/j.cyto.2007.12.012, doi:10.1016/j.cyto.2007.12.012. This article has 104 citations and is from a peer-reviewed journal.</w:t>
      </w:r>
    </w:p>
    <w:p>
      <w:pPr>
        <w:numPr>
          <w:ilvl w:val="0"/>
          <w:numId w:val="1002"/>
        </w:numPr>
      </w:pPr>
      <w:r>
        <w:t xml:space="preserve">(tunalı2023il1receptor–associatedkinase3 pages 7-9): Gürcan Tunalı, Marta Rúbies Bedós, Divya Nagarajan, Patrik Fridh, Irineos Papakyriacou, and Yumeng Mao. Il-1 receptor–associated kinase-3 acts as an immune checkpoint in myeloid cells to limit cancer immunotherapy. Journal of Clinical Investigation, Apr 2023. URL: https://doi.org/10.1172/jci161084, doi:10.1172/jci161084. This article has 18 citations and is from a highest quality peer-reviewed journal.</w:t>
      </w:r>
    </w:p>
    <w:p>
      <w:pPr>
        <w:numPr>
          <w:ilvl w:val="0"/>
          <w:numId w:val="1002"/>
        </w:numPr>
      </w:pPr>
      <w:r>
        <w:t xml:space="preserve">(flannery2010theinterleukin1receptorassociated pages 1-5): Sinead Flannery and Andrew G. Bowie. The interleukin-1 receptor-associated kinases: critical regulators of innate immune signalling. Biochemical Pharmacology, 80:1981-1991, Dec 2010. URL: https://doi.org/10.1016/j.bcp.2010.06.020, doi:10.1016/j.bcp.2010.06.020. This article has 393 citations and is from a domain leading peer-reviewed journal.</w:t>
      </w:r>
    </w:p>
    <w:p>
      <w:pPr>
        <w:numPr>
          <w:ilvl w:val="0"/>
          <w:numId w:val="1002"/>
        </w:numPr>
      </w:pPr>
      <w:r>
        <w:t xml:space="preserve">(flannery2010theinterleukin1receptorassociated pages 43-47): Sinead Flannery and Andrew G. Bowie. The interleukin-1 receptor-associated kinases: critical regulators of innate immune signalling. Biochemical Pharmacology, 80:1981-1991, Dec 2010. URL: https://doi.org/10.1016/j.bcp.2010.06.020, doi:10.1016/j.bcp.2010.06.020. This article has 393 citations and is from a domain leading peer-reviewed journal.</w:t>
      </w:r>
    </w:p>
    <w:p>
      <w:pPr>
        <w:numPr>
          <w:ilvl w:val="0"/>
          <w:numId w:val="1002"/>
        </w:numPr>
      </w:pPr>
      <w:r>
        <w:t xml:space="preserve">(horne2021forwhomthe pages 2-2): Christopher R. Horne and James M. Murphy. For whom the bell tolls: the structure of the dead kinase, irak3. Structure, 29 3:197-199, Mar 2021. URL: https://doi.org/10.1016/j.str.2021.01.011, doi:10.1016/j.str.2021.01.011. This article has 2 citations and is from a domain leading peer-reviewed journal.</w:t>
      </w:r>
    </w:p>
    <w:p>
      <w:pPr>
        <w:numPr>
          <w:ilvl w:val="0"/>
          <w:numId w:val="1002"/>
        </w:numPr>
      </w:pPr>
      <w:r>
        <w:t xml:space="preserve">(nguyen2020analysisofinterleukin1 pages 23-24): Trang Hong Nguyen, Ilona Turek, Terri Meehan-Andrews, Anita Zacharias, and Helen Irving. Analysis of interleukin-1 receptor associated kinase-3 (irak3) function in modulating expression of inflammatory markers in cell culture models: a systematic review and meta-analysis. PLOS ONE, 15:e0244570, Dec 2020. URL: https://doi.org/10.1371/journal.pone.0244570, doi:10.1371/journal.pone.0244570. This article has 22 citations and is from a peer-reviewed journal.</w:t>
      </w:r>
    </w:p>
    <w:p>
      <w:pPr>
        <w:numPr>
          <w:ilvl w:val="0"/>
          <w:numId w:val="1002"/>
        </w:numPr>
      </w:pPr>
      <w:r>
        <w:t xml:space="preserve">(ringwood2008theinvolvementof pages 10-13): Lorna Ringwood and Liwu Li. The involvement of the interleukin-1 receptor-associated kinases (iraks) in cellular signaling networks controlling inflammation. Cytokine, 42:1-7, Apr 2008. URL: https://doi.org/10.1016/j.cyto.2007.12.012, doi:10.1016/j.cyto.2007.12.012. This article has 104 citations and is from a peer-reviewed journal.</w:t>
      </w:r>
    </w:p>
    <w:p>
      <w:pPr>
        <w:numPr>
          <w:ilvl w:val="0"/>
          <w:numId w:val="1002"/>
        </w:numPr>
      </w:pPr>
      <w:r>
        <w:t xml:space="preserve">(su2009theinterleukin1receptorassociated pages 8-9): Jianmin Su, Tongli Zhang, John Tyson, and Liwu Li. The interleukin-1 receptor-associated kinase m selectively inhibits the alternative, instead of the classical nfκb pathway. Journal of Innate Immunity, 1:164-174, Sep 2009. URL: https://doi.org/10.1159/000158541, doi:10.1159/000158541. This article has 43 citations and is from a peer-reviewed journal.</w:t>
      </w:r>
    </w:p>
    <w:p>
      <w:pPr>
        <w:numPr>
          <w:ilvl w:val="0"/>
          <w:numId w:val="1002"/>
        </w:numPr>
      </w:pPr>
      <w:r>
        <w:t xml:space="preserve">(su2009theinterleukin1receptorassociated pages 9-10): Jianmin Su, Tongli Zhang, John Tyson, and Liwu Li. The interleukin-1 receptor-associated kinase m selectively inhibits the alternative, instead of the classical nfκb pathway. Journal of Innate Immunity, 1:164-174, Sep 2009. URL: https://doi.org/10.1159/000158541, doi:10.1159/000158541. This article has 43 citations and is from a peer-reviewed journal.</w:t>
      </w:r>
    </w:p>
    <w:p>
      <w:pPr>
        <w:numPr>
          <w:ilvl w:val="0"/>
          <w:numId w:val="1002"/>
        </w:numPr>
      </w:pPr>
      <w:r>
        <w:t xml:space="preserve">(wiese2020investigationalirak4inhibitors pages 17-21): Michael D. Wiese, Arkady T. Manning-Bennett, and Ahmad Y. Abuhelwa. Investigational irak-4 inhibitors for the treatment of rheumatoid arthritis. Expert Opinion on Investigational Drugs, 29:475-482, Apr 2020. URL: https://doi.org/10.1080/13543784.2020.1752660, doi:10.1080/13543784.2020.1752660. This article has 50 citations and is from a peer-reviewed journal.</w:t>
      </w:r>
    </w:p>
    <w:p>
      <w:pPr>
        <w:numPr>
          <w:ilvl w:val="0"/>
          <w:numId w:val="1002"/>
        </w:numPr>
      </w:pPr>
      <w:r>
        <w:t xml:space="preserve">(zheng2022interleukinreceptorassociated pages 9-11): Youjing Zheng and Jia-Qiang He. Interleukin receptor associated kinase 1 signaling and its association with cardiovascular diseases. Reviews in Cardiovascular Medicine, 23:97-97, Mar 2022. URL: https://doi.org/10.31083/j.rcm2303097, doi:10.31083/j.rcm2303097. This article has 13 citations and is from a peer-reviewed journal.</w:t>
      </w:r>
    </w:p>
    <w:p>
      <w:pPr>
        <w:numPr>
          <w:ilvl w:val="0"/>
          <w:numId w:val="1002"/>
        </w:numPr>
      </w:pPr>
      <w:r>
        <w:t xml:space="preserve">(zhou2013irak‐mmediatestoll‐like pages 1-2): Hao Zhou, Minjia Yu, Koichi Fukuda, Jinteak Im, Peng Yao, Wei Cui, Katarzyna Bulek, Jarod Zepp, Youzhong Wan, Tae Whan Kim, Weiguo Yin, Victoria Ma, James Thomas, Jun Gu, Jian-an Wang, Paul E DiCorleto, Paul L Fox, Jun Qin, and Xiaoxia Li. Irak‐m mediates toll‐like receptor/il‐1r‐induced nfκb activation and cytokine production. The EMBO Journal, Feb 2013. URL: https://doi.org/10.1038/emboj.2013.2, doi:10.1038/emboj.2013.2. This article has 165 citations.</w:t>
      </w:r>
    </w:p>
    <w:p>
      <w:pPr>
        <w:numPr>
          <w:ilvl w:val="0"/>
          <w:numId w:val="1002"/>
        </w:numPr>
      </w:pPr>
      <w:r>
        <w:t xml:space="preserve">(bahia2015interleukin1receptorassociated pages 3-4): Malkeet Singh Bahia, Maninder Kaur, Pragati Silakari, and Om Silakari. Interleukin-1 receptor associated kinase inhibitors: potential therapeutic agents for inflammatory- and immune-related disorders. Cellular Signalling, 27:1039-1055, Jun 2015. URL: https://doi.org/10.1016/j.cellsig.2015.02.025, doi:10.1016/j.cellsig.2015.02.025. This article has 57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2025-06-18T18:55:34Z</dcterms:created>
  <dcterms:modified xsi:type="dcterms:W3CDTF">2025-06-18T18:55:34Z</dcterms:modified>
</cp:coreProperties>
</file>

<file path=docProps/custom.xml><?xml version="1.0" encoding="utf-8"?>
<Properties xmlns="http://schemas.openxmlformats.org/officeDocument/2006/custom-properties" xmlns:vt="http://schemas.openxmlformats.org/officeDocument/2006/docPropsVTypes"/>
</file>