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LIM domain kinase 1 (LIMK1) is a serine/threonine kinase that is evolutionarily conserved among vertebrates and has been identified in all mammalian species studied to date (krupa2002therepertoireof pages 1-2). It belongs to the specialized group of kinases that contain one or more LIM domains, a feature that distinguishes the LIM kinase family from more conventional kinases. Within this family, LIMK1 is most closely related to its paralog, LIMK2, with which it shares approximately 50% overall amino acid identity and considerable similarity in the catalytic domain (mittelstaedt2012structuralandfunctional pages 274-277). Phylogenetic analysis indicates that the LIM kinases emerged early during vertebrate evolution, and the distinct domain architecture characterized by N-terminal LIM motifs and an internal PDZ domain suggests that the LIM kinase family may have originated from an ancestral kinase that acquired additional protein–protein interaction modules during evolution (krupa2002therepertoireof pages 1-2, mittelstaedt2012structuralandfunctional pages 38-46). LIMK1 orthologs have been documented in mouse, rat, and other mammalian species, consistent with the findings that its gene structure is highly conserved across these organisms. This conservation underscores the kinase’s essential role in actin cytoskeleton regulation as well as its integration within complex signaling networks downstream of Rho GTPases (mittelstaedt2012structuralandfunctional pages 274-277).</w:t>
      </w:r>
    </w:p>
    <w:p>
      <w:pPr>
        <w:numPr>
          <w:ilvl w:val="0"/>
          <w:numId w:val="1001"/>
        </w:numPr>
      </w:pPr>
      <w:r>
        <w:t xml:space="preserve">Reaction Catalyzed</w:t>
      </w:r>
      <w:r>
        <w:br/>
      </w:r>
      <w:r>
        <w:t xml:space="preserve">LIMK1 catalyzes the phosphorylation reaction that transfers the γ-phosphate from ATP to target proteins containing serine or threonine residues. In its canonical reaction, LIMK1 mediates the conversion of ATP and the non-phosphorylated form of its substrate into ADP and the phosphorylated substrate, according to the reaction:</w:t>
      </w:r>
      <w:r>
        <w:br/>
      </w:r>
      <w:r>
        <w:t xml:space="preserve">  ATP + [protein]-(L-serine or L-threonine) → ADP + [protein]-(L-serine/threonine)-phosphate + H⁺</w:t>
      </w:r>
      <w:r>
        <w:br/>
      </w:r>
      <w:r>
        <w:t xml:space="preserve">This reaction is fundamental for the regulation of actin dynamics, as it directly inactivates key actin-depolymerizing factors by phosphorylating them (mittelstaedt2012structuralandfunctional pages 38-46).</w:t>
      </w:r>
    </w:p>
    <w:p>
      <w:pPr>
        <w:numPr>
          <w:ilvl w:val="0"/>
          <w:numId w:val="1001"/>
        </w:numPr>
      </w:pPr>
      <w:r>
        <w:t xml:space="preserve">Cofactor Requirements</w:t>
      </w:r>
      <w:r>
        <w:br/>
      </w:r>
      <w:r>
        <w:t xml:space="preserve">The catalytic action of LIMK1, as with most protein kinases, requires the binding of ATP in a complex with divalent metal ions, particularly Mg²⁺, which serves as an essential cofactor facilitating the nucleophilic attack of the substrate’s hydroxyl group on the γ-phosphate of ATP. This requirement for Mg²⁺ is critical for the proper coordination of ATP within the active site and for subsequent phosphoryl transfer during catalysis (mittelstaedt2012structuralandfunctional pages 32-38).</w:t>
      </w:r>
    </w:p>
    <w:p>
      <w:pPr>
        <w:numPr>
          <w:ilvl w:val="0"/>
          <w:numId w:val="1001"/>
        </w:numPr>
      </w:pPr>
      <w:r>
        <w:t xml:space="preserve">Substrate Specificity</w:t>
      </w:r>
      <w:r>
        <w:br/>
      </w:r>
      <w:r>
        <w:t xml:space="preserve">LIMK1 exhibits a high degree of substrate specificity by selectively phosphorylating actin regulatory proteins, thereby directly influencing actin filament dynamics. A well-documented substrate of LIMK1 is cofilin—specifically, cofilin-1 and cofilin-2—which are phosphorylated at serine-3. The phosphorylation of cofilin by LIMK1 leads to inhibition of its actin-depolymerizing activity, resulting in stabilization of filamentous actin and consequent alterations in cell morphology and motility (mittelstaedt2012structuralandfunctional pages 274-277, mittelstaedt2012structuralandfunctional pages 56-60). In addition to cofilin, LIMK1 phosphorylates destrin (DSTN), another actin-binding protein that regulates actin turnover, and it has also been shown to phosphorylate tubulin polymerization-promoting protein (TPPP) on serine residues, a modification that promotes microtubule disassembly (protein function information, mittelstaedt2012structuralandfunctional pages 56-60). Although large-scale kinase substrate specificity profiling studies such as those described by Johnson et al. (johnson2023anatlasof pages 1-2) do not provide an explicit consensus sequence for LIMK1, the available data underscore that LIMK1 preferentially targets substrates with a phosphorylation site located in a specific sequence context that promotes recognition and efficient catalytic turnover. Thus, the kinase displays a narrow substrate spectrum that is defined by the precise phosphorylation of serine-3 within cofilin and similar target sites on related actin-regulatory proteins.</w:t>
      </w:r>
    </w:p>
    <w:p>
      <w:pPr>
        <w:numPr>
          <w:ilvl w:val="0"/>
          <w:numId w:val="1001"/>
        </w:numPr>
      </w:pPr>
      <w:r>
        <w:t xml:space="preserve">Structure</w:t>
      </w:r>
      <w:r>
        <w:br/>
      </w:r>
      <w:r>
        <w:t xml:space="preserve">LIMK1 is characterized by a multidomain organization that includes several distinct functional modules. At its N-terminus, LIMK1 contains two LIM domains. These LIM domains are cysteine-rich zinc-binding motifs that are critical for mediating protein–protein interactions and are involved in subcellular localization as well as in the formation of multiprotein complexes (mittelstaedt2012structuralandfunctional pages 38-46). Following the LIM domains, LIMK1 features a central PDZ domain that further contributes to its scaffolding function by enabling interactions with diverse proteins that contain complementary PDZ-binding motifs. This configuration facilitates the integration of LIMK1 into broader signaling complexes that regulate cytoskeletal dynamics. The C-terminal portion of the protein contains the kinase domain, which is responsible for the enzymatic activity of LIMK1. Detailed structural studies, including limited proteolysis and crystallization experiments, have delineated the kinase domain to span roughly residues 330 to 647 (mittelstaedt2012structuralandfunctional pages 121-130).</w:t>
      </w:r>
      <w:r>
        <w:br/>
      </w:r>
      <w:r>
        <w:t xml:space="preserve">Within the kinase domain, structural analyses using inhibitor-bound complexes (for example, with staurosporine) have revealed that the domain adopts a bi-lobal structure typical of protein kinases; it consists of an N-terminal lobe rich in β-sheets and a predominantly α-helical C-terminal lobe (mittelstaedt2012structuralandfunctional pages 153-164). Key catalytic features include the formation of a salt bridge involving residues in the αC helix and essential lysine residues that coordinate ATP binding. One unique aspect of LIMK1’s structure is an additional loop insertion that functionally replaces the conventional αG helix found in many kinases, a feature thought to influence substrate specificity, particularly towards cofilin (mittelstaedt2012structuralandfunctional pages 153-164). Another distinct structural element is a C-terminal helix, sometimes referred to as the αJ helix, which is absent in related kinases such as TES kinases. Furthermore, the activation loop in LIMK1, which contains the phosphorylatable threonine residue (T508), is critical for conformational activation; although a portion of this activation loop remains unresolved in crystal structures, its flexibility is believed to be linked to phosphorylation status and regulatory control of catalytic activity (mittelstaedt2012structuralandfunctional pages 164-171). Overall, the arrangement of the LIM, PDZ, and kinase domains enables LIMK1 to function as both a signaling scaffold and an active kinase, integrating multiple regulatory inputs via its multidomain architecture (mittelstaedt2012structuralandfunctional pages 38-46).</w:t>
      </w:r>
    </w:p>
    <w:p>
      <w:pPr>
        <w:numPr>
          <w:ilvl w:val="0"/>
          <w:numId w:val="1001"/>
        </w:numPr>
      </w:pPr>
      <w:r>
        <w:t xml:space="preserve">Regulation</w:t>
      </w:r>
      <w:r>
        <w:br/>
      </w:r>
      <w:r>
        <w:t xml:space="preserve">Regulation of LIMK1 occurs through several mechanisms that ensure its activity is finely tuned according to cellular demands. A primary regulatory mechanism involves phosphorylation of the kinase domain’s activation loop, specifically at threonine-508. This phosphorylation is carried out by upstream kinases such as Rho-associated kinase (ROCK1) and p21-activated kinases (PAK1 and PAK4), which themselves are activated downstream of Rho family GTPases. The phosphorylation at threonine-508 is essential for the full activation of LIMK1, as it induces conformational changes that align critical catalytic residues and facilitate substrate binding (mittelstaedt2012structuralandfunctional pages 53-56).</w:t>
      </w:r>
      <w:r>
        <w:br/>
      </w:r>
      <w:r>
        <w:t xml:space="preserve">In addition to phosphorylation-mediated activation, LIMK1 activity is modulated by its interactions with various regulatory proteins. For example, the chaperone protein Hsp90 has been shown to promote homodimerization of LIMK1, a process that not only stabilizes the active conformation of the kinase but also increases its half-life in the cell, extending from approximately 4 to 20 hours (mittelstaedt2012structuralandfunctional pages 53-56). Conversely, the phosphatase slingshot (SSH) serves as a negative regulator by dephosphorylating both LIMK1 and its substrate cofilin. This dephosphorylation reaction reverses the inhibition of cofilin, thereby restoring its actin-depolymerizing activity and contributing to the dynamic regulation of actin filament turnover (mittelstaedt2012structuralandfunctional pages 53-56).</w:t>
      </w:r>
      <w:r>
        <w:br/>
      </w:r>
      <w:r>
        <w:t xml:space="preserve">An additional layer of regulation is provided through alternative splicing of the LIMK1 transcript, which generates isoforms with distinct functional properties. One such isoform, known as LIMK1-short, lacks a portion of the kinase domain necessary for catalytic activity and functions in a dominant-negative manner, thereby modulating overall LIMK1 activity within the cell (mittelstaedt2012structuralandfunctional pages 38-46). This isoform diversity contributes to the precise spatial and temporal regulation of actin dynamics, ensuring that LIMK1 activity can be tailored to specific cellular contexts such as neuronal development or cell migration.</w:t>
      </w:r>
    </w:p>
    <w:p>
      <w:pPr>
        <w:numPr>
          <w:ilvl w:val="0"/>
          <w:numId w:val="1001"/>
        </w:numPr>
      </w:pPr>
      <w:r>
        <w:t xml:space="preserve">Function</w:t>
      </w:r>
      <w:r>
        <w:br/>
      </w:r>
      <w:r>
        <w:t xml:space="preserve">LIMK1 plays a central role in the regulation of the actin cytoskeleton through its kinase activity. By phosphorylating the actin-depolymerizing factors cofilin-1, cofilin-2, and destrin at serine-3, LIMK1 prevents these proteins from severing filamentous actin (F-actin), thereby stabilizing actin filaments (mittelstaedt2012structuralandfunctional pages 274-277, mittelstaedt2012structuralandfunctional pages 56-60). This modification is pivotal for maintaining cell shape, facilitating cell motility, and enabling processes such as cell cycle progression and differentiation. In the context of cancer biology, aberrant activation of LIMK1 leads to enhanced cell invasion and metastasis, highlighting its role in cytoskeletal reorganization during tumor progression (mittelstaedt2012structuralandfunctional pages 56-60, fulcher2020functionsandregulation pages 11-13).</w:t>
      </w:r>
      <w:r>
        <w:br/>
      </w:r>
      <w:r>
        <w:t xml:space="preserve">Beyond its role in actin dynamics, LIMK1 also contributes to neuronal development by stimulating axonal outgrowth and by participating in brain development processes. Phosphorylation of substrates such as TPPP, which results in microtubule disassembly, indicates that LIMK1 is involved in the regulation of the microtubule network as well—a function that may be critical during neuronal morphogenesis (protein function information, mittelstaedt2012structuralandfunctional pages 56-60). Additionally, LIMK1 is implicated in signal transduction pathways downstream of Rho GTPases. These upstream regulators transmit extracellular signals to LIMK1, thereby integrating environmental cues into cytoskeletal rearrangements; such signaling is essential for cell migration, adhesion, and morphological changes (mittelstaedt2012structuralandfunctional pages 274-277). The tissue distribution of LIMK1 is broad, with notable expression in brain, kidney, lung, and testes, which underscores its versatile role in different cellular contexts and developmental processes (protein function information, mittelstaedt2012structuralandfunctional pages 38-46).</w:t>
      </w:r>
    </w:p>
    <w:p>
      <w:pPr>
        <w:numPr>
          <w:ilvl w:val="0"/>
          <w:numId w:val="1001"/>
        </w:numPr>
      </w:pPr>
      <w:r>
        <w:t xml:space="preserve">Other Comments</w:t>
      </w:r>
      <w:r>
        <w:br/>
      </w:r>
      <w:r>
        <w:t xml:space="preserve">Several aspects of LIMK1 have captured interest for therapeutic intervention. Inhibitors that target LIMK1—particularly ATP-competitive compounds—are being developed with the aim of modulating actin cytoskeletal dynamics in disease states such as cancer metastasis and glaucoma. For instance, thiazole derivatives have been reported as potential LIMK inhibitors with the capacity to promote actin depolymerization by dampening LIMK1 activity (leoni2014novelthiazolederivatives pages 9-10). Genetic studies and data aggregated in resources like the Open Targets Platform further imply that LIMK1 is associated with neurodevelopmental abnormalities as well as certain cancer-related phenotypes (OpenTargets Search: -LIMK1, fulcher2020functionsandregulation pages 11-13). Inhibitor development is a focus of current research, with efforts aimed at achieving high specificity given that LIMK1 participates in complex regulatory networks; thus, selective targeting of LIMK1 is crucial to mitigate potential off-target effects. The existence of dominant-negative isoforms such as LIMK1-short also adds a layer of regulatory complexity that may influence inhibitor efficacy. As advances in structural biology continue—for example, crystallographic studies of LIMK1 kinase domain complexes with inhibitors—structure-based drug design may yield more potent and selective therapeutic compounds in the future (mittelstaedt2012structuralandfunctional pages 153-164).</w:t>
      </w:r>
    </w:p>
    <w:p>
      <w:pPr>
        <w:numPr>
          <w:ilvl w:val="0"/>
          <w:numId w:val="1001"/>
        </w:numPr>
      </w:pPr>
      <w:r>
        <w:t xml:space="preserve">References</w:t>
      </w:r>
      <w:r>
        <w:br/>
      </w:r>
    </w:p>
    <w:p>
      <w:pPr>
        <w:numPr>
          <w:ilvl w:val="0"/>
          <w:numId w:val="1001"/>
        </w:numPr>
      </w:pPr>
      <w:r>
        <w:t xml:space="preserve">mittelstaedt2012structuralandfunctional pages 274-277</w:t>
      </w:r>
      <w:r>
        <w:br/>
      </w:r>
    </w:p>
    <w:p>
      <w:pPr>
        <w:numPr>
          <w:ilvl w:val="0"/>
          <w:numId w:val="1001"/>
        </w:numPr>
      </w:pPr>
      <w:r>
        <w:t xml:space="preserve">mittelstaedt2012structuralandfunctional pages 38-46</w:t>
      </w:r>
      <w:r>
        <w:br/>
      </w:r>
    </w:p>
    <w:p>
      <w:pPr>
        <w:numPr>
          <w:ilvl w:val="0"/>
          <w:numId w:val="1001"/>
        </w:numPr>
      </w:pPr>
      <w:r>
        <w:t xml:space="preserve">mittelstaedt2012structuralandfunctional pages 53-56</w:t>
      </w:r>
      <w:r>
        <w:br/>
      </w:r>
    </w:p>
    <w:p>
      <w:pPr>
        <w:numPr>
          <w:ilvl w:val="0"/>
          <w:numId w:val="1001"/>
        </w:numPr>
      </w:pPr>
      <w:r>
        <w:t xml:space="preserve">mittelstaedt2012structuralandfunctional pages 56-60</w:t>
      </w:r>
      <w:r>
        <w:br/>
      </w:r>
    </w:p>
    <w:p>
      <w:pPr>
        <w:numPr>
          <w:ilvl w:val="0"/>
          <w:numId w:val="1001"/>
        </w:numPr>
      </w:pPr>
      <w:r>
        <w:t xml:space="preserve">krupa2002therepertoireof pages 1-2</w:t>
      </w:r>
      <w:r>
        <w:br/>
      </w:r>
    </w:p>
    <w:p>
      <w:pPr>
        <w:numPr>
          <w:ilvl w:val="0"/>
          <w:numId w:val="1001"/>
        </w:numPr>
      </w:pPr>
      <w:r>
        <w:t xml:space="preserve">mittelstaedt2012structuralandfunctional pages 121-130</w:t>
      </w:r>
      <w:r>
        <w:br/>
      </w:r>
    </w:p>
    <w:p>
      <w:pPr>
        <w:numPr>
          <w:ilvl w:val="0"/>
          <w:numId w:val="1001"/>
        </w:numPr>
      </w:pPr>
      <w:r>
        <w:t xml:space="preserve">mittelstaedt2012structuralandfunctional pages 153-164</w:t>
      </w:r>
      <w:r>
        <w:br/>
      </w:r>
    </w:p>
    <w:p>
      <w:pPr>
        <w:numPr>
          <w:ilvl w:val="0"/>
          <w:numId w:val="1001"/>
        </w:numPr>
      </w:pPr>
      <w:r>
        <w:t xml:space="preserve">mittelstaedt2012structuralandfunctional pages 164-171</w:t>
      </w:r>
      <w:r>
        <w:br/>
      </w:r>
    </w:p>
    <w:p>
      <w:pPr>
        <w:numPr>
          <w:ilvl w:val="0"/>
          <w:numId w:val="1001"/>
        </w:numPr>
      </w:pPr>
      <w:r>
        <w:t xml:space="preserve">fulcher2020functionsandregulation pages 11-13</w:t>
      </w:r>
      <w:r>
        <w:br/>
      </w:r>
    </w:p>
    <w:p>
      <w:pPr>
        <w:numPr>
          <w:ilvl w:val="0"/>
          <w:numId w:val="1001"/>
        </w:numPr>
      </w:pPr>
      <w:r>
        <w:t xml:space="preserve">johnson2023anatlasof pages 1-2</w:t>
      </w:r>
      <w:r>
        <w:br/>
      </w:r>
    </w:p>
    <w:p>
      <w:pPr>
        <w:numPr>
          <w:ilvl w:val="0"/>
          <w:numId w:val="1001"/>
        </w:numPr>
      </w:pPr>
      <w:r>
        <w:t xml:space="preserve">leoni2014novelthiazolederivatives pages 9-10</w:t>
      </w:r>
      <w:r>
        <w:br/>
      </w:r>
    </w:p>
    <w:p>
      <w:pPr>
        <w:numPr>
          <w:ilvl w:val="0"/>
          <w:numId w:val="1001"/>
        </w:numPr>
      </w:pPr>
      <w:r>
        <w:t xml:space="preserve">OpenTargets Search: -LIMK1</w:t>
      </w:r>
    </w:p>
    <w:p>
      <w:pPr>
        <w:pStyle w:val="FirstParagraph"/>
      </w:pPr>
      <w:r>
        <w:t xml:space="preserve">References</w:t>
      </w:r>
    </w:p>
    <w:p>
      <w:pPr>
        <w:numPr>
          <w:ilvl w:val="0"/>
          <w:numId w:val="1002"/>
        </w:numPr>
      </w:pPr>
      <w:r>
        <w:t xml:space="preserve">(mittelstaedt2012structuralandfunctional pages 274-277): KYMK Mittelstaedt. Structural and functional characterisation of lim kinases. Unknown journal, 2012.</w:t>
      </w:r>
    </w:p>
    <w:p>
      <w:pPr>
        <w:numPr>
          <w:ilvl w:val="0"/>
          <w:numId w:val="1002"/>
        </w:numPr>
      </w:pPr>
      <w:r>
        <w:t xml:space="preserve">(mittelstaedt2012structuralandfunctional pages 38-46): KYMK Mittelstaedt. Structural and functional characterisation of lim kinases. Unknown journal, 2012.</w:t>
      </w:r>
    </w:p>
    <w:p>
      <w:pPr>
        <w:numPr>
          <w:ilvl w:val="0"/>
          <w:numId w:val="1002"/>
        </w:numPr>
      </w:pPr>
      <w:r>
        <w:t xml:space="preserve">(mittelstaedt2012structuralandfunctional pages 53-56): KYMK Mittelstaedt. Structural and functional characterisation of lim kinases. Unknown journal, 2012.</w:t>
      </w:r>
    </w:p>
    <w:p>
      <w:pPr>
        <w:numPr>
          <w:ilvl w:val="0"/>
          <w:numId w:val="1002"/>
        </w:numPr>
      </w:pPr>
      <w:r>
        <w:t xml:space="preserve">(mittelstaedt2012structuralandfunctional pages 56-60): KYMK Mittelstaedt. Structural and functional characterisation of lim kinases. Unknown journal, 2012.</w:t>
      </w:r>
    </w:p>
    <w:p>
      <w:pPr>
        <w:numPr>
          <w:ilvl w:val="0"/>
          <w:numId w:val="1002"/>
        </w:numPr>
      </w:pPr>
      <w:r>
        <w:t xml:space="preserve">(OpenTargets Search: -LIMK1): Open Targets Query (-LIMK1, 4 results). Ochoa, D. et al. (2023). The next-generation Open Targets Platform: reimagined, redesigned, rebuilt. Nucleic Acids Research.</w:t>
      </w:r>
    </w:p>
    <w:p>
      <w:pPr>
        <w:numPr>
          <w:ilvl w:val="0"/>
          <w:numId w:val="1002"/>
        </w:numPr>
      </w:pPr>
      <w:r>
        <w:t xml:space="preserve">(fulcher2020functionsandregulation pages 11-13): Luke J. Fulcher and Gopal P. Sapkota. Functions and regulation of the serine/threonine protein kinase ck1 family: moving beyond promiscuity. Biochemical Journal, 477:4603-4621, Dec 2020. URL: https://doi.org/10.1042/bcj20200506, doi:10.1042/bcj20200506. This article has 57 citations and is from a domain leading peer-reviewed journal.</w:t>
      </w:r>
    </w:p>
    <w:p>
      <w:pPr>
        <w:numPr>
          <w:ilvl w:val="0"/>
          <w:numId w:val="1002"/>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422 citations and is from a highest quality peer-reviewed journal.</w:t>
      </w:r>
    </w:p>
    <w:p>
      <w:pPr>
        <w:numPr>
          <w:ilvl w:val="0"/>
          <w:numId w:val="1002"/>
        </w:numPr>
      </w:pPr>
      <w:r>
        <w:t xml:space="preserve">(krupa2002therepertoireof pages 1-2): A. Krupa and N. Srinivasan. The repertoire of protein kinases encoded in the draft version of the human genome: atypical variations and uncommon domain combinations. Genome Biology, 3:research0066.1-research0066.14, Nov 2002. URL: https://doi.org/10.1186/gb-2002-3-12-research0066, doi:10.1186/gb-2002-3-12-research0066. This article has 69 citations and is from a highest quality peer-reviewed journal.</w:t>
      </w:r>
    </w:p>
    <w:p>
      <w:pPr>
        <w:numPr>
          <w:ilvl w:val="0"/>
          <w:numId w:val="1002"/>
        </w:numPr>
      </w:pPr>
      <w:r>
        <w:t xml:space="preserve">(mittelstaedt2012structuralandfunctional pages 121-130): KYMK Mittelstaedt. Structural and functional characterisation of lim kinases. Unknown journal, 2012.</w:t>
      </w:r>
    </w:p>
    <w:p>
      <w:pPr>
        <w:numPr>
          <w:ilvl w:val="0"/>
          <w:numId w:val="1002"/>
        </w:numPr>
      </w:pPr>
      <w:r>
        <w:t xml:space="preserve">(mittelstaedt2012structuralandfunctional pages 153-164): KYMK Mittelstaedt. Structural and functional characterisation of lim kinases. Unknown journal, 2012.</w:t>
      </w:r>
    </w:p>
    <w:p>
      <w:pPr>
        <w:numPr>
          <w:ilvl w:val="0"/>
          <w:numId w:val="1002"/>
        </w:numPr>
      </w:pPr>
      <w:r>
        <w:t xml:space="preserve">(mittelstaedt2012structuralandfunctional pages 164-171): KYMK Mittelstaedt. Structural and functional characterisation of lim kinases. Unknown journal, 2012.</w:t>
      </w:r>
    </w:p>
    <w:p>
      <w:pPr>
        <w:numPr>
          <w:ilvl w:val="0"/>
          <w:numId w:val="1002"/>
        </w:numPr>
      </w:pPr>
      <w:r>
        <w:t xml:space="preserve">(mittelstaedt2012structuralandfunctional pages 32-38): KYMK Mittelstaedt. Structural and functional characterisation of lim kinases. Unknown journal, 2012.</w:t>
      </w:r>
    </w:p>
    <w:p>
      <w:pPr>
        <w:numPr>
          <w:ilvl w:val="0"/>
          <w:numId w:val="1002"/>
        </w:numPr>
      </w:pPr>
      <w:r>
        <w:t xml:space="preserve">(leoni2014novelthiazolederivatives pages 9-10): Alberto Leoni, Alessandra Locatelli, Rita Morigi, and Mirella Rambaldi. Novel thiazole derivatives: a patent review (2008 – 2012; part 1). Expert Opinion on Therapeutic Patents, 24:201-216, Jan 2014. URL: https://doi.org/10.1517/13543776.2014.858121, doi:10.1517/13543776.2014.858121. This article has 78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2025-06-18T18:55:36Z</dcterms:created>
  <dcterms:modified xsi:type="dcterms:W3CDTF">2025-06-18T18:55:36Z</dcterms:modified>
</cp:coreProperties>
</file>

<file path=docProps/custom.xml><?xml version="1.0" encoding="utf-8"?>
<Properties xmlns="http://schemas.openxmlformats.org/officeDocument/2006/custom-properties" xmlns:vt="http://schemas.openxmlformats.org/officeDocument/2006/docPropsVTypes"/>
</file>