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MAK (male germ cell‐associated kinase; UniProt ID: P20794) is a serine/threonine kinase that has been conserved throughout evolution. Its catalytic domain shows significant homology to members of the cyclin‐dependent kinase family, exhibiting roughly 50% amino acid sequence identity with key regulators such as CDC2, CDC28, and CDC2Hs. This evolutionary relationship places MAK squarely within the CMGC group of the human kinome, a superfamily that also includes MAP kinases, glycogen synthase kinases, and CDKs (matsushime1990anovelmammalian pages 3-4). MAK orthologs have been identified in several mammalian species, including robust conservation between human and rat mak genes, with reports of up to 92% nucleotide identity in the kinase domain. Moreover, cross‐hybridization studies have revealed discrete bands in rodent genomes and even weak signals in species such as fish and Drosophila, suggesting MAK’s evolutionary divergence is tightly constrained among higher eukaryotes (matsushime1990anovelmammalian pages 2-3, hanks1995theeukaryoticprotein pages 7-8). In addition, a homologous kinase (often designated as MHK) in Arabidopsis thaliana reinforces the ancient origin of the MAK subfamily, implying that its core regulatory mechanisms date back to a common eukaryotic ancestor (hardie1999plantproteinserinethreonine pages 22-24). Collectively, these findings support a phylogenetic placement of MAK as a conserved CMGC kinase closely related to cell cycle regulators that have diversified yet maintained critical roles in germ cell function and ciliary signaling (fu2006identificationofyinyang pages 16-16, jenardhanan2014kinasesastargets pages 3-4).</w:t>
      </w:r>
    </w:p>
    <w:p>
      <w:pPr>
        <w:numPr>
          <w:ilvl w:val="0"/>
          <w:numId w:val="1001"/>
        </w:numPr>
      </w:pPr>
      <w:r>
        <w:t xml:space="preserve">Reaction Catalyzed</w:t>
      </w:r>
      <w:r>
        <w:br/>
      </w:r>
      <w:r>
        <w:t xml:space="preserve">MAK catalyzes the phosphorylation of serine or threonine residues on protein substrates. The chemical reaction can be described by the following equation:</w:t>
      </w:r>
      <w:r>
        <w:br/>
      </w:r>
      <w:r>
        <w:t xml:space="preserve">  ATP + [protein substrate] → ADP + [protein substrate]-phosphate + H⁺</w:t>
      </w:r>
      <w:r>
        <w:br/>
      </w:r>
      <w:r>
        <w:t xml:space="preserve">This reaction is fundamental for modulating substrate function and propagating intracellular signaling cascades, as MAK transfers the γ-phosphate from ATP to specific hydroxyl groups on target proteins (matsushime1990anovelmammalian pages 2-3, fu2006identificationofyinyang pages 2-2).</w:t>
      </w:r>
    </w:p>
    <w:p>
      <w:pPr>
        <w:numPr>
          <w:ilvl w:val="0"/>
          <w:numId w:val="1001"/>
        </w:numPr>
      </w:pPr>
      <w:r>
        <w:t xml:space="preserve">Cofactor Requirements</w:t>
      </w:r>
      <w:r>
        <w:br/>
      </w:r>
      <w:r>
        <w:t xml:space="preserve">The catalytic activity of MAK is dependent on the presence of divalent cations. Consistent with the general mechanism of serine/threonine kinases, MAK requires Mg²⁺ as a cofactor. Mg²⁺ ions facilitate the binding of ATP within the catalytic cleft and stabilize the transition state during the phosphoryl transfer reaction (goldsmith2007substrateanddocking pages 2-3, matsushime1990anovelmammalian pages 2-3).</w:t>
      </w:r>
    </w:p>
    <w:p>
      <w:pPr>
        <w:numPr>
          <w:ilvl w:val="0"/>
          <w:numId w:val="1001"/>
        </w:numPr>
      </w:pPr>
      <w:r>
        <w:t xml:space="preserve">Substrate Specificity</w:t>
      </w:r>
      <w:r>
        <w:br/>
      </w:r>
      <w:r>
        <w:t xml:space="preserve">MAK displays substrate specificity that is typical of serine/threonine kinases. It recognizes and phosphorylates target proteins on serine or threonine residues within a consensus motif defined by the presence of an arginine residue at the –3 position relative to the phosphoacceptor, generally conforming to an RPX-S/T-P motif. This substrate preference facilitates the selective phosphorylation of proteins such as FZR1, a regulator of cell cycle progression, and may also be relevant to its role as a transcriptional coactivator of the androgen receptor (fu2006identificationofyinyang pages 16-16, ozgul2011exomesequencingand pages 7-9). Notably, mutations affecting conserved residues within MAK’s catalytic domain—such as certain glycine and asparagine residues critical for ATP binding—highlight the importance of these motifs in ensuring proper substrate recognition and catalytic efficiency (ozgul2011exomesequencingand pages 7-9).</w:t>
      </w:r>
    </w:p>
    <w:p>
      <w:pPr>
        <w:numPr>
          <w:ilvl w:val="0"/>
          <w:numId w:val="1001"/>
        </w:numPr>
      </w:pPr>
      <w:r>
        <w:t xml:space="preserve">Structure</w:t>
      </w:r>
      <w:r>
        <w:br/>
      </w:r>
      <w:r>
        <w:t xml:space="preserve">The protein structure of MAK is organized in a manner reflective of classical serine/threonine kinases. Its architecture is comprised of several distinct regions:</w:t>
      </w:r>
      <w:r>
        <w:t xml:space="preserve"> </w:t>
      </w:r>
      <w:r>
        <w:t xml:space="preserve"> • A canonical N-terminal kinase domain that adopts the typical bilobal fold observed in kinase structures, where the smaller N-terminal lobe, primarily composed of β-sheets, binds ATP via a glycine-rich loop. Essential catalytic motifs, including the conserved lysine required for ATP orientation, are found within this region (matsushime1990anovelmammalian pages 3-4, matsushime1990anovelmammalian pages 4-5).</w:t>
      </w:r>
      <w:r>
        <w:br/>
      </w:r>
      <w:r>
        <w:t xml:space="preserve"> • A central proline- and glutamine-rich region, which likely acts as a flexible hinge or linker that permits conformational adjustments during the catalytic cycle.</w:t>
      </w:r>
      <w:r>
        <w:br/>
      </w:r>
      <w:r>
        <w:t xml:space="preserve"> • A distinct C-terminal domain that does not show significant homology to other well-characterized proteins, suggesting a specialized role in the regulation of MAK activity or subcellular targeting (matsushime1990anovelmammalian pages 6-7).</w:t>
      </w:r>
      <w:r>
        <w:br/>
      </w:r>
      <w:r>
        <w:t xml:space="preserve">Structural models and comparative analyses indicate that MAK, like other CMGC kinases, contains key regulatory elements such as an activation loop, a hydrophobic spine, and a conserved C-helix. These features are critical for defining the active conformation of the kinase and allow the protein to undergo the necessary conformational rearrangements during activation (goldsmith2007substrateanddocking pages 2-3, hanks1995theeukaryoticprotein pages 7-8).</w:t>
      </w:r>
    </w:p>
    <w:p>
      <w:pPr>
        <w:numPr>
          <w:ilvl w:val="0"/>
          <w:numId w:val="1001"/>
        </w:numPr>
      </w:pPr>
      <w:r>
        <w:t xml:space="preserve">Regulation</w:t>
      </w:r>
      <w:r>
        <w:br/>
      </w:r>
      <w:r>
        <w:t xml:space="preserve">Regulation of MAK involves a series of well-coordinated post-translational modifications and protein–protein interactions that ensure its kinase activity is appropriately modulated. A primary mechanism of activation is phosphorylation within the activation loop (T-loop). In MAK, a critical threonine residue in the T-loop is phosphorylated by cell cycle-related kinase (CCRK). This phosphorylation event is pivotal for transitioning MAK from an inactive or basal to a fully active state (fu2006identificationofyinyang pages 12-14, fu2006identificationofyinyang pages 2-2).</w:t>
      </w:r>
      <w:r>
        <w:br/>
      </w:r>
      <w:r>
        <w:t xml:space="preserve">Additionally, MAK interacts with protein phosphatase 5 (PP5), which can dephosphorylate MAK, thus attenuating its activity. These reversible phosphorylation events provide a dynamic control mechanism that synchronizes MAK activity with cell cycle progression and other signaling events. Moreover, MAK’s role as a transcriptional coactivator for the androgen receptor suggests that its regulatory mechanisms may also involve complex interactions with nuclear coactivators and chromatin remodeling factors. The tissue-restricted expression pattern—most notably in testicular germ cells during and after meiosis, as well as in photoreceptors—further underscores the tightly regulated nature of MAK’s activity (matsushime1990anovelmammalian pages 2-3, ozgul2011exomesequencingand pages 7-9, jenardhanan2014kinasesastargets pages 3-4).</w:t>
      </w:r>
    </w:p>
    <w:p>
      <w:pPr>
        <w:numPr>
          <w:ilvl w:val="0"/>
          <w:numId w:val="1001"/>
        </w:numPr>
      </w:pPr>
      <w:r>
        <w:t xml:space="preserve">Function</w:t>
      </w:r>
      <w:r>
        <w:br/>
      </w:r>
      <w:r>
        <w:t xml:space="preserve">MAK functions at the intersection of cell cycle regulation, ciliary maintenance, and transcriptional control. In the realm of ciliary biology, MAK is essential for regulating ciliary length—a function that is critical for the long-term survival and proper functioning of photoreceptor cells in the retina. Mutations in MAK have been implicated in retinitis pigmentosa, a degenerative retinal condition characterized by progressive loss of photoreceptor cells (ozgul2011exomesequencingand pages 7-9).</w:t>
      </w:r>
      <w:r>
        <w:br/>
      </w:r>
      <w:r>
        <w:t xml:space="preserve">In addition to its role in ciliary regulation, MAK phosphorylates FZR1 in a cell cycle–dependent manner, thereby contributing to cell cycle progression and ensuring chromosomal stability. This aspect of its function is particularly important in the context of spermatogenesis, where precise timing and regulation of meiotic events are required for the generation of functional male gametes (matsushime1990anovelmammalian pages 1-2).</w:t>
      </w:r>
      <w:r>
        <w:br/>
      </w:r>
      <w:r>
        <w:t xml:space="preserve">Furthermore, MAK serves as a transcriptional coactivator of the androgen receptor (AR), implicating it in the control of gene expression programs relevant to both reproductive biology and prostate cell homeostasis. Such multifaceted functional roles underscore the integration of MAK into various signaling networks that govern cell proliferation, differentiation, and survival (matsushime1990anovelmammalian pages 2-3, jenardhanan2014kinasesastargets pages 3-4).</w:t>
      </w:r>
    </w:p>
    <w:p>
      <w:pPr>
        <w:numPr>
          <w:ilvl w:val="0"/>
          <w:numId w:val="1001"/>
        </w:numPr>
      </w:pPr>
      <w:r>
        <w:t xml:space="preserve">Other Comments</w:t>
      </w:r>
      <w:r>
        <w:br/>
      </w:r>
      <w:r>
        <w:t xml:space="preserve">Alterations in MAK activity have significant clinical implications. Mutations in the MAK gene have been directly linked to autosomal recessive retinitis pigmentosa, emphasizing its critical role in photoreceptor maintenance and ciliary function (ozgul2011exomesequencingand pages 7-9). In addition, there is evidence that abnormal MAK activity may contribute to chromosomal instability observed in prostate cancer cells, suggesting a potential role in tumor biology and a rationale for exploring MAK as a therapeutic target.</w:t>
      </w:r>
      <w:r>
        <w:br/>
      </w:r>
      <w:r>
        <w:t xml:space="preserve">Although specific inhibitors targeting MAK have not been detailed in the provided literature, its classification within the CMGC kinase group suggests that strategies developed for other cell cycle–related kinases may be applicable. Continued investigation into the phosphorylation dynamics, interaction partners, and regulatory mechanisms of MAK is expected to further clarify its potential as a drug target in both degenerative retinal disorders and cancers associated with aberrant cell cycle control (fu2006identificationofyinyang pages 12-14, jenardhanan2014kinasesastargets pages 3-4).</w:t>
      </w:r>
    </w:p>
    <w:p>
      <w:pPr>
        <w:pStyle w:val="FirstParagraph"/>
      </w:pPr>
      <w:r>
        <w:t xml:space="preserve">References</w:t>
      </w:r>
    </w:p>
    <w:p>
      <w:pPr>
        <w:numPr>
          <w:ilvl w:val="0"/>
          <w:numId w:val="1002"/>
        </w:numPr>
      </w:pPr>
      <w:r>
        <w:t xml:space="preserve">(matsushime1990anovelmammalian pages 2-3): H. Matsushime, A. Jinno, N. Takagi, and M. Shibuya. A novel mammalian protein kinase gene (mak) is highly expressed in testicular germ cells at and after meiosis. Molecular and Cellular Biology, 10:2261-2268, May 1990. URL: https://doi.org/10.1128/mcb.10.5.2261-2268.1990, doi:10.1128/mcb.10.5.2261-2268.1990. This article has 133 citations and is from a domain leading peer-reviewed journal.</w:t>
      </w:r>
    </w:p>
    <w:p>
      <w:pPr>
        <w:numPr>
          <w:ilvl w:val="0"/>
          <w:numId w:val="1002"/>
        </w:numPr>
      </w:pPr>
      <w:r>
        <w:t xml:space="preserve">(matsushime1990anovelmammalian pages 3-4): H. Matsushime, A. Jinno, N. Takagi, and M. Shibuya. A novel mammalian protein kinase gene (mak) is highly expressed in testicular germ cells at and after meiosis. Molecular and Cellular Biology, 10:2261-2268, May 1990. URL: https://doi.org/10.1128/mcb.10.5.2261-2268.1990, doi:10.1128/mcb.10.5.2261-2268.1990. This article has 133 citations and is from a domain leading peer-reviewed journal.</w:t>
      </w:r>
    </w:p>
    <w:p>
      <w:pPr>
        <w:numPr>
          <w:ilvl w:val="0"/>
          <w:numId w:val="1002"/>
        </w:numPr>
      </w:pPr>
      <w:r>
        <w:t xml:space="preserve">(ozgul2011exomesequencingand pages 7-9): R. Özgül, Anna Siemiątkowska, D. Yücel, Connie Myers, R. Collin, Marijke N. Zonneveld, Avigail Beryozkin, E. Banin, C. Hoyng, L. Ingeborgh van den Born, R. Bose, W. Shen, D. Sharon, F. Cremers, B. J. Klevering, Anneke I. den Hollander, and J. Corbo. Exome sequencing and cis-regulatory mapping identify mutations in mak, a gene encoding a regulator of ciliary length, as a cause of retinitis pigmentosa. American journal of human genetics, 89 2:253-64, Aug 2011. URL: https://doi.org/10.1016/j.ajhg.2011.07.005, doi:10.1016/j.ajhg.2011.07.005. This article has 122 citations and is from a highest quality peer-reviewed journal.</w:t>
      </w:r>
    </w:p>
    <w:p>
      <w:pPr>
        <w:numPr>
          <w:ilvl w:val="0"/>
          <w:numId w:val="1002"/>
        </w:numPr>
      </w:pPr>
      <w:r>
        <w:t xml:space="preserve">(fu2006identificationofyinyang pages 16-16):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93 citations and is from a domain leading peer-reviewed journal.</w:t>
      </w:r>
    </w:p>
    <w:p>
      <w:pPr>
        <w:numPr>
          <w:ilvl w:val="0"/>
          <w:numId w:val="1002"/>
        </w:numPr>
      </w:pPr>
      <w:r>
        <w:t xml:space="preserve">(fu2006identificationofyinyang pages 2-2):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93 citations and is from a domain leading peer-reviewed journal.</w:t>
      </w:r>
    </w:p>
    <w:p>
      <w:pPr>
        <w:numPr>
          <w:ilvl w:val="0"/>
          <w:numId w:val="1002"/>
        </w:numPr>
      </w:pPr>
      <w:r>
        <w:t xml:space="preserve">(goldsmith2007substrateanddocking pages 2-3): Elizabeth J. Goldsmith, Radha Akella, Xiaoshan Min, Tianjun Zhou, and John M. Humphreys. Substrate and docking interactions in serine/threonine protein kinases. Chemical Reviews, 107:5065-5081, Oct 2007. URL: https://doi.org/10.1021/cr068221w, doi:10.1021/cr068221w. This article has 155 citations and is from a highest quality peer-reviewed journal.</w:t>
      </w:r>
    </w:p>
    <w:p>
      <w:pPr>
        <w:numPr>
          <w:ilvl w:val="0"/>
          <w:numId w:val="1002"/>
        </w:numPr>
      </w:pPr>
      <w:r>
        <w:t xml:space="preserve">(hanks1995theeukaryoticprotein pages 7-8):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3994 citations.</w:t>
      </w:r>
    </w:p>
    <w:p>
      <w:pPr>
        <w:numPr>
          <w:ilvl w:val="0"/>
          <w:numId w:val="1002"/>
        </w:numPr>
      </w:pPr>
      <w:r>
        <w:t xml:space="preserve">(jenardhanan2014kinasesastargets pages 3-4): Pranitha Jenardhanan and Premendu P Mathur. Kinases as targets for chemical modulators: structural aspects and their role in spermatogenesis. Spermatogenesis, 4:e979113, Mar 2014. URL: https://doi.org/10.4161/21565562.2014.979113, doi:10.4161/21565562.2014.979113. This article has 18 citations and is from a peer-reviewed journal.</w:t>
      </w:r>
    </w:p>
    <w:p>
      <w:pPr>
        <w:numPr>
          <w:ilvl w:val="0"/>
          <w:numId w:val="1002"/>
        </w:numPr>
      </w:pPr>
      <w:r>
        <w:t xml:space="preserve">(matsushime1990anovelmammalian pages 1-2): H. Matsushime, A. Jinno, N. Takagi, and M. Shibuya. A novel mammalian protein kinase gene (mak) is highly expressed in testicular germ cells at and after meiosis. Molecular and Cellular Biology, 10:2261-2268, May 1990. URL: https://doi.org/10.1128/mcb.10.5.2261-2268.1990, doi:10.1128/mcb.10.5.2261-2268.1990. This article has 133 citations and is from a domain leading peer-reviewed journal.</w:t>
      </w:r>
    </w:p>
    <w:p>
      <w:pPr>
        <w:numPr>
          <w:ilvl w:val="0"/>
          <w:numId w:val="1002"/>
        </w:numPr>
      </w:pPr>
      <w:r>
        <w:t xml:space="preserve">(matsushime1990anovelmammalian pages 4-5): H. Matsushime, A. Jinno, N. Takagi, and M. Shibuya. A novel mammalian protein kinase gene (mak) is highly expressed in testicular germ cells at and after meiosis. Molecular and Cellular Biology, 10:2261-2268, May 1990. URL: https://doi.org/10.1128/mcb.10.5.2261-2268.1990, doi:10.1128/mcb.10.5.2261-2268.1990. This article has 133 citations and is from a domain leading peer-reviewed journal.</w:t>
      </w:r>
    </w:p>
    <w:p>
      <w:pPr>
        <w:numPr>
          <w:ilvl w:val="0"/>
          <w:numId w:val="1002"/>
        </w:numPr>
      </w:pPr>
      <w:r>
        <w:t xml:space="preserve">(matsushime1990anovelmammalian pages 6-7): H. Matsushime, A. Jinno, N. Takagi, and M. Shibuya. A novel mammalian protein kinase gene (mak) is highly expressed in testicular germ cells at and after meiosis. Molecular and Cellular Biology, 10:2261-2268, May 1990. URL: https://doi.org/10.1128/mcb.10.5.2261-2268.1990, doi:10.1128/mcb.10.5.2261-2268.1990. This article has 133 citations and is from a domain leading peer-reviewed journal.</w:t>
      </w:r>
    </w:p>
    <w:p>
      <w:pPr>
        <w:numPr>
          <w:ilvl w:val="0"/>
          <w:numId w:val="1002"/>
        </w:numPr>
      </w:pPr>
      <w:r>
        <w:t xml:space="preserve">(fu2006identificationofyinyang pages 12-14):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93 citations and is from a domain leading peer-reviewed journal.</w:t>
      </w:r>
    </w:p>
    <w:p>
      <w:pPr>
        <w:numPr>
          <w:ilvl w:val="0"/>
          <w:numId w:val="1002"/>
        </w:numPr>
      </w:pPr>
      <w:r>
        <w:t xml:space="preserve">(hardie1999plantproteinserinethreonine pages 22-24): D. G. Hardie. Plant protein serine/threonine kinases: classification and functions. Annual Review of Plant Physiology and Plant Molecular Biology, 50:97-131, Jun 1999. URL: https://doi.org/10.1146/annurev.arplant.50.1.97, doi:10.1146/annurev.arplant.50.1.97. This article has 418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