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MAP3K20, also known as ZAK, MLTK, and MLK7, is a member of the mitogen‐activated protein kinase kinase kinase (MAP3K) family that is evolutionarily conserved among vertebrates, with orthologs identified in humans, mice, zebrafish, and Xenopus (russell2023dissectingtherole pages 38-42).</w:t>
      </w:r>
      <w:r>
        <w:br/>
      </w:r>
      <w:r>
        <w:t xml:space="preserve">It is classified within the broader Ste20 group kinases, a clade that comprises kinases acting as upstream regulators of MAP kinase cascades, and its evolutionary conservation underscores its essential role in stress-responsive signaling (dan2001theste20group pages 2-3).</w:t>
      </w:r>
      <w:r>
        <w:br/>
      </w:r>
      <w:r>
        <w:t xml:space="preserve">Phylogenetic analyses demonstrate that MAP3K20 shares conserved catalytic and regulatory domains with other mixed lineage kinases, suggesting an ancient origin and a fundamental role in eukaryotic signal transduction (russell2023dissectingtherolea pages 38-42).</w:t>
      </w:r>
      <w:r>
        <w:br/>
      </w:r>
      <w:r>
        <w:t xml:space="preserve">Comparative genomic studies reveal that the gene structure, including the presence of alternative splicing leading to the production of two distinct isoforms—ZAKα and ZAKβ—is maintained across different species, highlighting its evolutionary significance (russell2023dissectingtherole pages 38-42).</w:t>
      </w:r>
      <w:r>
        <w:br/>
      </w:r>
      <w:r>
        <w:t xml:space="preserve">This conservation of sequence and domain architecture places MAP3K20 within a core set of kinases required for adaptive cellular stress responses, linking it functionally to similar kinases that participate in MAPK cascades from yeast to mammals (russell2023dissectingtherolea pages 38-42).</w:t>
      </w:r>
    </w:p>
    <w:p>
      <w:pPr>
        <w:numPr>
          <w:ilvl w:val="0"/>
          <w:numId w:val="1001"/>
        </w:numPr>
      </w:pPr>
      <w:r>
        <w:t xml:space="preserve">Reaction Catalyzed</w:t>
      </w:r>
      <w:r>
        <w:br/>
      </w:r>
      <w:r>
        <w:t xml:space="preserve">MAP3K20 catalyzes the phosphorylation of downstream protein substrates by transferring a phosphate group from ATP to specific serine/threonine residues present within these substrates (russell2023dissectingtherole pages 38-42).</w:t>
      </w:r>
      <w:r>
        <w:br/>
      </w:r>
      <w:r>
        <w:t xml:space="preserve">The chemical reaction it mediates can be summarized as follows: ATP + [protein]-(L-serine or L-threonine) → ADP + [protein]-(L-serine/threonine)-phosphate + H⁺, which is characteristic of serine/threonine kinases (pearson2001mitogenactivatedprotein(map) pages 1-2).</w:t>
      </w:r>
      <w:r>
        <w:br/>
      </w:r>
      <w:r>
        <w:t xml:space="preserve">This phosphorylation event is essential for subsequent activation of MAP kinase kinases (MAP2Ks) that in turn activate MAP kinases, thereby initiating a cascade of phosphorylation events central to the cellular stress response (russell2023dissectingtherole pages 38-42).</w:t>
      </w:r>
      <w:r>
        <w:br/>
      </w:r>
      <w:r>
        <w:t xml:space="preserve">The reaction mechanism involves the binding of ATP to the kinase domain, followed by the catalytic transfer of the γ-phosphate to the substrate protein, ultimately resulting in conformational changes that propagate the signal downstream (manzoor2012mitogenactivatedproteinkinases pages 3-5).</w:t>
      </w:r>
    </w:p>
    <w:p>
      <w:pPr>
        <w:numPr>
          <w:ilvl w:val="0"/>
          <w:numId w:val="1001"/>
        </w:numPr>
      </w:pPr>
      <w:r>
        <w:t xml:space="preserve">Cofactor Requirements</w:t>
      </w:r>
      <w:r>
        <w:br/>
      </w:r>
      <w:r>
        <w:t xml:space="preserve">MAP3K20, like many other serine/threonine protein kinases, requires the presence of divalent metal ions—most notably Mg²⁺—to coordinate ATP binding and facilitate the phosphate transfer reaction (russell2023dissectingtherole pages 38-42).</w:t>
      </w:r>
      <w:r>
        <w:br/>
      </w:r>
      <w:r>
        <w:t xml:space="preserve">Experimental evidence from in vitro kinase assays supports the notion that Mg²⁺ acts as an indispensable cofactor required for the optimal catalytic activity of ZAK (vind2020ribosomalstresssurveillancethree pages 10-10).</w:t>
      </w:r>
      <w:r>
        <w:br/>
      </w:r>
      <w:r>
        <w:t xml:space="preserve">This dependence on magnesium is consistent with the catalytic mechanisms observed in other MAP kinase family members, where the metal ion stabilizes the transition state during the phosphoryl transfer reaction (russell2023dissectingtherole pages 38-42).</w:t>
      </w:r>
      <w:r>
        <w:br/>
      </w:r>
      <w:r>
        <w:t xml:space="preserve">Although Mn²⁺ may substitute under certain experimental conditions, Mg²⁺ remains the physiologically relevant cofactor for MAP3K20 activity (manzoor2012mitogenactivatedproteinkinases pages 3-5).</w:t>
      </w:r>
    </w:p>
    <w:p>
      <w:pPr>
        <w:numPr>
          <w:ilvl w:val="0"/>
          <w:numId w:val="1001"/>
        </w:numPr>
      </w:pPr>
      <w:r>
        <w:t xml:space="preserve">Substrate Specificity</w:t>
      </w:r>
      <w:r>
        <w:br/>
      </w:r>
      <w:r>
        <w:t xml:space="preserve">MAP3K20 displays substrate specificity towards MAP kinase kinases (MAP2Ks), showing a preference for phosphorylating MKK3/6, which activate the p38 MAPK family, and MKK4/7, which activate the c-Jun N-terminal kinase (JNK) pathway (russell2023dissectingtherole pages 38-42).</w:t>
      </w:r>
      <w:r>
        <w:br/>
      </w:r>
      <w:r>
        <w:t xml:space="preserve">Although an explicit consensus phosphorylation motif for MAP3K20 has not been delineated in detail, its substrate preference clearly targets serine/threonine residues located in the activation loops of these MAP2Ks (russell2023dissectingtherolea pages 38-42).</w:t>
      </w:r>
      <w:r>
        <w:br/>
      </w:r>
      <w:r>
        <w:t xml:space="preserve">Phosphoproteomic studies conducted in skeletal muscle have suggested that in addition to canonical MAP2Ks, MAP3K20 may phosphorylate proteins involved in cytoskeletal organization, particularly those associated with the z-disc and focal adhesion complexes (stonadge2023myofibrillarmyopathyhallmarks pages 4-5).</w:t>
      </w:r>
      <w:r>
        <w:br/>
      </w:r>
      <w:r>
        <w:t xml:space="preserve">This broadened substrate scope implies that while its primary role is to trigger MAPK cascades through MKK phosphorylation, MAP3K20 may also participate in fine-tuning cellular responses in muscle cells by modifying structural and signaling proteins (stonadge2023myofibrillarmyopathyhallmarks pages 4-5).</w:t>
      </w:r>
    </w:p>
    <w:p>
      <w:pPr>
        <w:numPr>
          <w:ilvl w:val="0"/>
          <w:numId w:val="1001"/>
        </w:numPr>
      </w:pPr>
      <w:r>
        <w:t xml:space="preserve">Structure</w:t>
      </w:r>
      <w:r>
        <w:br/>
      </w:r>
      <w:r>
        <w:t xml:space="preserve">MAP3K20 exists in two major isoforms—ZAKα and ZAKβ—which are produced by alternative splicing of the MAP3K20 gene; ZAKα comprises approximately 800 amino acids while ZAKβ is composed of about 455 amino acids (russell2023dissectingtherolea pages 38-42).</w:t>
      </w:r>
      <w:r>
        <w:br/>
      </w:r>
      <w:r>
        <w:t xml:space="preserve">Both isoforms share an identical N-terminal region encompassing the first 331 amino acids, which encodes a conserved serine/threonine kinase domain along with a leucine zipper motif that is critical for dimerization and subsequent autophosphorylation (russell2023dissectingtherole pages 38-42).</w:t>
      </w:r>
      <w:r>
        <w:br/>
      </w:r>
      <w:r>
        <w:t xml:space="preserve">The C-terminal region in ZAKα contains a sterile alpha motif (SAM) and ribosome binding domains, supporting its role in sensing ribotoxic stress, whereas ZAKβ features a distinct stress fiber binding domain (SFBD) that mediates its localization to the cytoskeletal frameworks in skeletal muscle (russell2023dissectingtherolea pages 38-42).</w:t>
      </w:r>
      <w:r>
        <w:br/>
      </w:r>
      <w:r>
        <w:t xml:space="preserve">Key catalytic features of MAP3K20 include an activation loop that harbors crucial autophosphorylation sites at Thr161, Thr162, and Ser165; these modifications are necessary for the kinase’s activation and the subsequent propagation of the MAPK signaling cascade (russell2023dissectingtherole pages 38-42).</w:t>
      </w:r>
      <w:r>
        <w:br/>
      </w:r>
      <w:r>
        <w:t xml:space="preserve">Although a definitive crystal structure has not yet been reported, structural predictions based on AlphaFold and conserved kinase domain models indicate that MAP3K20 adopts the characteristic bilobal architecture observed among protein kinases, with a predominantly β-stranded N-lobe and an α-helical C-lobe (stonadge2023understandingtherole pages 97-103).</w:t>
      </w:r>
      <w:r>
        <w:br/>
      </w:r>
      <w:r>
        <w:t xml:space="preserve">Additional important structural elements, such as the hydrophobic spine and the positioning of the C-helix, are inferred to be integral for stabilizing the active conformation of the kinase, a feature that is common among MAP3Ks (russell2023dissectingtherole pages 38-42).</w:t>
      </w:r>
      <w:r>
        <w:br/>
      </w:r>
      <w:r>
        <w:t xml:space="preserve">The unique organization of isoform-specific C-terminal sequences in ZAKα and ZAKβ underlies functional diversification, with these domains mediating interactions with distinct cellular partners and governing subcellular localization (russell2023dissectingtherolea pages 38-42).</w:t>
      </w:r>
    </w:p>
    <w:p>
      <w:pPr>
        <w:numPr>
          <w:ilvl w:val="0"/>
          <w:numId w:val="1001"/>
        </w:numPr>
      </w:pPr>
      <w:r>
        <w:t xml:space="preserve">Regulation</w:t>
      </w:r>
      <w:r>
        <w:br/>
      </w:r>
      <w:r>
        <w:t xml:space="preserve">MAP3K20 is primarily regulated by autophosphorylation, a process that follows the dimerization mediated by its leucine zipper, which is necessary to bring two kinase domains into close proximity for intermolecular phosphorylation (russell2023dissectingtherole pages 38-42).</w:t>
      </w:r>
      <w:r>
        <w:br/>
      </w:r>
      <w:r>
        <w:t xml:space="preserve">The autophosphorylation of essential residues, notably Thr161, Thr162, and Ser165, serves as a molecular switch that converts MAP3K20 from an inactive to an active state, enabling it to phosphorylate downstream MAP2Ks (russell2023dissectingtherole pages 38-42).</w:t>
      </w:r>
      <w:r>
        <w:br/>
      </w:r>
      <w:r>
        <w:t xml:space="preserve">In addition to this intrinsic regulatory mechanism, MAP3K20 activation is modulated by various extracellular stimuli, including growth factors, cytokines, ribotoxic stress, osmotic shock, and ionizing radiation, which trigger conformational changes that further promote its activity (russell2023dissectingtherole pages 138-143).</w:t>
      </w:r>
      <w:r>
        <w:br/>
      </w:r>
      <w:r>
        <w:t xml:space="preserve">Phosphoproteomic investigations in skeletal muscle have demonstrated that ZAKβ activity is closely linked to the phosphorylation of proteins involved in maintaining the structural integrity of the muscle cell, particularly within the z-disc and focal adhesion complexes (stonadge2023myofibrillarmyopathyhallmarks pages 6-7).</w:t>
      </w:r>
      <w:r>
        <w:br/>
      </w:r>
      <w:r>
        <w:t xml:space="preserve">Furthermore, interactions with small GTPases such as RhoA and RhoC have been reported to influence MAP3K20’s conformational dynamics and subcellular targeting, thereby integrating signals from the cytoskeletal network with stress-activated MAPK pathways (russell2023dissectingtherole pages 138-143).</w:t>
      </w:r>
    </w:p>
    <w:p>
      <w:pPr>
        <w:numPr>
          <w:ilvl w:val="0"/>
          <w:numId w:val="1001"/>
        </w:numPr>
      </w:pPr>
      <w:r>
        <w:t xml:space="preserve">Function</w:t>
      </w:r>
      <w:r>
        <w:br/>
      </w:r>
      <w:r>
        <w:t xml:space="preserve">MAP3K20 functions as a stress-activated component of the MAPK signaling network, where it plays a pivotal role in initiating cascades that lead to the activation of both the JNK and p38 MAPK pathways (russell2023dissectingtherole pages 38-42).</w:t>
      </w:r>
      <w:r>
        <w:br/>
      </w:r>
      <w:r>
        <w:t xml:space="preserve">Upon exposure to various stressors such as ribosomal damage, osmotic imbalances, or exposure to ionizing radiation, MAP3K20 catalyzes the phosphorylation of MAP2Ks—specifically MKK3/6 and MKK4/7—which in turn activate p38 and JNK, respectively, thereby promoting cellular responses leading to programmed cell death (russell2023dissectingtherole pages 138-143).</w:t>
      </w:r>
      <w:r>
        <w:br/>
      </w:r>
      <w:r>
        <w:t xml:space="preserve">In skeletal muscle, ZAKβ is the predominantly expressed isoform and serves a critical function in myogenesis by regulating myoblast proliferation, fusion, and differentiation; its activity is essential for proper muscle development and maintenance (stonadge2023myofibrillarmyopathyhallmarks pages 1-1).</w:t>
      </w:r>
      <w:r>
        <w:br/>
      </w:r>
      <w:r>
        <w:t xml:space="preserve">Transcriptomic analyses from ZAK knockout mouse models have identified significant upregulation of muscle-specific genes such as myomaker and the transcription factor RUNX1, highlighting a role for MAP3K20 in modulating gene expression programs necessary for muscle fiber formation and repair (russell2023dissectingtherole pages 138-143).</w:t>
      </w:r>
      <w:r>
        <w:br/>
      </w:r>
      <w:r>
        <w:t xml:space="preserve">Additionally, MAP3K20 influences the structural integrity of muscle fibers by phosphorylating proteins associated with the z-disc and costameric complexes—such as SYNPO2, PDLIM5, and Filamin C—thus contributing to the regulation of protein turnover and maintaining sarcomeric stability under mechanical stress (stonadge2023myofibrillarmyopathyhallmarks pages 4-4).</w:t>
      </w:r>
      <w:r>
        <w:br/>
      </w:r>
      <w:r>
        <w:t xml:space="preserve">Beyond its established functions in muscle, MAP3K20 is implicated in broader apoptotic signaling pathways, where its activation under stress conditions triggers cellular programs culminating in programmed cell death, thereby playing a role in tissue homeostasis and response to damage (avruch2007mapkinasepathways pages 2-3).</w:t>
      </w:r>
      <w:r>
        <w:br/>
      </w:r>
      <w:r>
        <w:t xml:space="preserve">In addition, recent studies have also suggested that alterations in MAP3K20 activity may be connected to certain congenital muscle diseases as well as other stress-related pathologies, although these associations are primarily based on genetic and transcriptomic evidence (OpenTargets Search: -MAP3K20).</w:t>
      </w:r>
    </w:p>
    <w:p>
      <w:pPr>
        <w:numPr>
          <w:ilvl w:val="0"/>
          <w:numId w:val="1001"/>
        </w:numPr>
      </w:pPr>
      <w:r>
        <w:t xml:space="preserve">Other Comments</w:t>
      </w:r>
      <w:r>
        <w:br/>
      </w:r>
      <w:r>
        <w:t xml:space="preserve">To date, there are no extensively characterized small molecule or protein inhibitors that are specifically designed to target MAP3K20; the literature does not report any clinically approved inhibitors for this kinase (OpenTargets Search: -MAP3K20).</w:t>
      </w:r>
      <w:r>
        <w:br/>
      </w:r>
      <w:r>
        <w:t xml:space="preserve">Genetic association studies have identified links between MAP3K20 and several rare disorders, including centronuclear myopathy with fiber-type disproportion and split-foot malformation-mesoaxial polydactyly syndrome, although these relationships are derived from genomic data and have not been extensively characterized in functional studies (OpenTargets Search: -MAP3K20).</w:t>
      </w:r>
      <w:r>
        <w:br/>
      </w:r>
      <w:r>
        <w:t xml:space="preserve">In skeletal muscle, ZAKβ deficiency correlates with hallmarks of myofibrillar myopathy, such as the abnormal accumulation of structural proteins like Filamin C (FLNC) and BAG3, which in turn result in compromised muscle fiber integrity and impaired contractile function (stonadge2023myofibrillarmyopathyhallmarks pages 1-1).</w:t>
      </w:r>
      <w:r>
        <w:br/>
      </w:r>
      <w:r>
        <w:t xml:space="preserve">The tissue-specific expression pattern of MAP3K20, particularly the exclusive expression of the ZAKβ isoform in skeletal muscle, underlines its specialized role in muscle adaptation and repair, and suggests that therapeutic modulation of its activity could be of interest in the context of muscle degenerative diseases (stonadge2023understandingtherole pages 122-128).</w:t>
      </w:r>
      <w:r>
        <w:br/>
      </w:r>
      <w:r>
        <w:t xml:space="preserve">Given the central role of MAP3K20 in mediating stress-induced signaling cascades, it remains an attractive candidate for further research aimed at dissecting the molecular mechanisms underlying cellular stress responses and the development of targeted interventions for stress-related pathologies (stonadge2023understandingtherole pages 148-153).</w:t>
      </w:r>
    </w:p>
    <w:p>
      <w:pPr>
        <w:numPr>
          <w:ilvl w:val="0"/>
          <w:numId w:val="1001"/>
        </w:numPr>
      </w:pPr>
      <w:r>
        <w:t xml:space="preserve">References</w:t>
      </w:r>
      <w:r>
        <w:br/>
      </w:r>
    </w:p>
    <w:p>
      <w:pPr>
        <w:numPr>
          <w:ilvl w:val="0"/>
          <w:numId w:val="1001"/>
        </w:numPr>
      </w:pPr>
      <w:r>
        <w:t xml:space="preserve">russell2023dissectingtherole pages 138-143</w:t>
      </w:r>
      <w:r>
        <w:br/>
      </w:r>
    </w:p>
    <w:p>
      <w:pPr>
        <w:numPr>
          <w:ilvl w:val="0"/>
          <w:numId w:val="1001"/>
        </w:numPr>
      </w:pPr>
      <w:r>
        <w:t xml:space="preserve">russell2023dissectingtherole pages 38-42</w:t>
      </w:r>
      <w:r>
        <w:br/>
      </w:r>
    </w:p>
    <w:p>
      <w:pPr>
        <w:numPr>
          <w:ilvl w:val="0"/>
          <w:numId w:val="1001"/>
        </w:numPr>
      </w:pPr>
      <w:r>
        <w:t xml:space="preserve">russell2023dissectingtherolea pages 38-42</w:t>
      </w:r>
      <w:r>
        <w:br/>
      </w:r>
    </w:p>
    <w:p>
      <w:pPr>
        <w:numPr>
          <w:ilvl w:val="0"/>
          <w:numId w:val="1001"/>
        </w:numPr>
      </w:pPr>
      <w:r>
        <w:t xml:space="preserve">stonadge2023myofibrillarmyopathyhallmarks pages 4-4</w:t>
      </w:r>
      <w:r>
        <w:br/>
      </w:r>
    </w:p>
    <w:p>
      <w:pPr>
        <w:numPr>
          <w:ilvl w:val="0"/>
          <w:numId w:val="1001"/>
        </w:numPr>
      </w:pPr>
      <w:r>
        <w:t xml:space="preserve">stonadge2023myofibrillarmyopathyhallmarks pages 4-5</w:t>
      </w:r>
      <w:r>
        <w:br/>
      </w:r>
    </w:p>
    <w:p>
      <w:pPr>
        <w:numPr>
          <w:ilvl w:val="0"/>
          <w:numId w:val="1001"/>
        </w:numPr>
      </w:pPr>
      <w:r>
        <w:t xml:space="preserve">stonadge2023myofibrillarmyopathyhallmarks pages 6-7</w:t>
      </w:r>
      <w:r>
        <w:br/>
      </w:r>
    </w:p>
    <w:p>
      <w:pPr>
        <w:numPr>
          <w:ilvl w:val="0"/>
          <w:numId w:val="1001"/>
        </w:numPr>
      </w:pPr>
      <w:r>
        <w:t xml:space="preserve">stonadge2023understandingtherole pages 117-122</w:t>
      </w:r>
      <w:r>
        <w:br/>
      </w:r>
    </w:p>
    <w:p>
      <w:pPr>
        <w:numPr>
          <w:ilvl w:val="0"/>
          <w:numId w:val="1001"/>
        </w:numPr>
      </w:pPr>
      <w:r>
        <w:t xml:space="preserve">stonadge2023understandingtherole pages 122-128</w:t>
      </w:r>
      <w:r>
        <w:br/>
      </w:r>
    </w:p>
    <w:p>
      <w:pPr>
        <w:numPr>
          <w:ilvl w:val="0"/>
          <w:numId w:val="1001"/>
        </w:numPr>
      </w:pPr>
      <w:r>
        <w:t xml:space="preserve">stonadge2023understandingtherole pages 148-153</w:t>
      </w:r>
      <w:r>
        <w:br/>
      </w:r>
    </w:p>
    <w:p>
      <w:pPr>
        <w:numPr>
          <w:ilvl w:val="0"/>
          <w:numId w:val="1001"/>
        </w:numPr>
      </w:pPr>
      <w:r>
        <w:t xml:space="preserve">OpenTargets Search: -MAP3K20</w:t>
      </w:r>
      <w:r>
        <w:br/>
      </w:r>
    </w:p>
    <w:p>
      <w:pPr>
        <w:numPr>
          <w:ilvl w:val="0"/>
          <w:numId w:val="1001"/>
        </w:numPr>
      </w:pPr>
      <w:r>
        <w:t xml:space="preserve">dan2001theste20group pages 2-3</w:t>
      </w:r>
      <w:r>
        <w:br/>
      </w:r>
    </w:p>
    <w:p>
      <w:pPr>
        <w:numPr>
          <w:ilvl w:val="0"/>
          <w:numId w:val="1001"/>
        </w:numPr>
      </w:pPr>
      <w:r>
        <w:t xml:space="preserve">manzoor2012mitogenactivatedproteinkinases pages 3-5</w:t>
      </w:r>
      <w:r>
        <w:br/>
      </w:r>
    </w:p>
    <w:p>
      <w:pPr>
        <w:numPr>
          <w:ilvl w:val="0"/>
          <w:numId w:val="1001"/>
        </w:numPr>
      </w:pPr>
      <w:r>
        <w:t xml:space="preserve">pearson2001mitogenactivatedprotein(map) pages 1-2</w:t>
      </w:r>
      <w:r>
        <w:br/>
      </w:r>
    </w:p>
    <w:p>
      <w:pPr>
        <w:numPr>
          <w:ilvl w:val="0"/>
          <w:numId w:val="1001"/>
        </w:numPr>
      </w:pPr>
      <w:r>
        <w:t xml:space="preserve">vind2020ribosomalstresssurveillancethree pages 10-10</w:t>
      </w:r>
      <w:r>
        <w:br/>
      </w:r>
    </w:p>
    <w:p>
      <w:pPr>
        <w:numPr>
          <w:ilvl w:val="0"/>
          <w:numId w:val="1001"/>
        </w:numPr>
      </w:pPr>
      <w:r>
        <w:t xml:space="preserve">avruch2007mapkinasepathways pages 2-3</w:t>
      </w:r>
      <w:r>
        <w:br/>
      </w:r>
    </w:p>
    <w:p>
      <w:pPr>
        <w:numPr>
          <w:ilvl w:val="0"/>
          <w:numId w:val="1001"/>
        </w:numPr>
      </w:pPr>
      <w:r>
        <w:t xml:space="preserve">cargnello2011activationandfunction pages 1-1</w:t>
      </w:r>
      <w:r>
        <w:br/>
      </w:r>
    </w:p>
    <w:p>
      <w:pPr>
        <w:numPr>
          <w:ilvl w:val="0"/>
          <w:numId w:val="1001"/>
        </w:numPr>
      </w:pPr>
      <w:r>
        <w:t xml:space="preserve">cargnello2011activationandfunction pages 1-2</w:t>
      </w:r>
    </w:p>
    <w:p>
      <w:pPr>
        <w:pStyle w:val="FirstParagraph"/>
      </w:pPr>
      <w:r>
        <w:t xml:space="preserve">References</w:t>
      </w:r>
    </w:p>
    <w:p>
      <w:pPr>
        <w:numPr>
          <w:ilvl w:val="0"/>
          <w:numId w:val="1002"/>
        </w:numPr>
      </w:pPr>
      <w:r>
        <w:t xml:space="preserve">(russell2023dissectingtherole pages 138-143): AJ Russell. Dissecting the role of zak-beta in skeletal muscle using zebrafish as a model organism. Unknown journal, 2023.</w:t>
      </w:r>
    </w:p>
    <w:p>
      <w:pPr>
        <w:numPr>
          <w:ilvl w:val="0"/>
          <w:numId w:val="1002"/>
        </w:numPr>
      </w:pPr>
      <w:r>
        <w:t xml:space="preserve">(russell2023dissectingtherole pages 38-42): AJ Russell. Dissecting the role of zak-beta in skeletal muscle using zebrafish as a model organism. Unknown journal, 2023.</w:t>
      </w:r>
    </w:p>
    <w:p>
      <w:pPr>
        <w:numPr>
          <w:ilvl w:val="0"/>
          <w:numId w:val="1002"/>
        </w:numPr>
      </w:pPr>
      <w:r>
        <w:t xml:space="preserve">(russell2023dissectingtherolea pages 38-42): AJ Russell. Dissecting the role of zak-beta in skeletal muscle using zebrafish as a model organism. Unknown journal, 2023.</w:t>
      </w:r>
    </w:p>
    <w:p>
      <w:pPr>
        <w:numPr>
          <w:ilvl w:val="0"/>
          <w:numId w:val="1002"/>
        </w:numPr>
      </w:pPr>
      <w:r>
        <w:t xml:space="preserve">(stonadge2023myofibrillarmyopathyhallmarks pages 4-4): Amy Stonadge, Aitana V Genzor, Alex Russell, Mohamed F Hamed, Norma Romero, Gareth Evans, Mary Elizabeth Pownall, Simon Bekker-Jensen, and Gonzalo Blanco. Myofibrillar myopathy hallmarks associated with zak deficiency. Human Molecular Genetics, 32:2751-2770, Jul 2023. URL: https://doi.org/10.1093/hmg/ddad113, doi:10.1093/hmg/ddad113. This article has 2 citations and is from a domain leading peer-reviewed journal.</w:t>
      </w:r>
    </w:p>
    <w:p>
      <w:pPr>
        <w:numPr>
          <w:ilvl w:val="0"/>
          <w:numId w:val="1002"/>
        </w:numPr>
      </w:pPr>
      <w:r>
        <w:t xml:space="preserve">(stonadge2023myofibrillarmyopathyhallmarks pages 4-5): Amy Stonadge, Aitana V Genzor, Alex Russell, Mohamed F Hamed, Norma Romero, Gareth Evans, Mary Elizabeth Pownall, Simon Bekker-Jensen, and Gonzalo Blanco. Myofibrillar myopathy hallmarks associated with zak deficiency. Human Molecular Genetics, 32:2751-2770, Jul 2023. URL: https://doi.org/10.1093/hmg/ddad113, doi:10.1093/hmg/ddad113. This article has 2 citations and is from a domain leading peer-reviewed journal.</w:t>
      </w:r>
    </w:p>
    <w:p>
      <w:pPr>
        <w:numPr>
          <w:ilvl w:val="0"/>
          <w:numId w:val="1002"/>
        </w:numPr>
      </w:pPr>
      <w:r>
        <w:t xml:space="preserve">(stonadge2023myofibrillarmyopathyhallmarks pages 6-7): Amy Stonadge, Aitana V Genzor, Alex Russell, Mohamed F Hamed, Norma Romero, Gareth Evans, Mary Elizabeth Pownall, Simon Bekker-Jensen, and Gonzalo Blanco. Myofibrillar myopathy hallmarks associated with zak deficiency. Human Molecular Genetics, 32:2751-2770, Jul 2023. URL: https://doi.org/10.1093/hmg/ddad113, doi:10.1093/hmg/ddad113. This article has 2 citations and is from a domain leading peer-reviewed journal.</w:t>
      </w:r>
    </w:p>
    <w:p>
      <w:pPr>
        <w:numPr>
          <w:ilvl w:val="0"/>
          <w:numId w:val="1002"/>
        </w:numPr>
      </w:pPr>
      <w:r>
        <w:t xml:space="preserve">(stonadge2023understandingtherole pages 117-122): AJ Stonadge. Understanding the role of zakβ in the maintenance and regulation of skeletal muscle function. Unknown journal, 2023.</w:t>
      </w:r>
    </w:p>
    <w:p>
      <w:pPr>
        <w:numPr>
          <w:ilvl w:val="0"/>
          <w:numId w:val="1002"/>
        </w:numPr>
      </w:pPr>
      <w:r>
        <w:t xml:space="preserve">(stonadge2023understandingtherole pages 122-128): AJ Stonadge. Understanding the role of zakβ in the maintenance and regulation of skeletal muscle function. Unknown journal, 2023.</w:t>
      </w:r>
    </w:p>
    <w:p>
      <w:pPr>
        <w:numPr>
          <w:ilvl w:val="0"/>
          <w:numId w:val="1002"/>
        </w:numPr>
      </w:pPr>
      <w:r>
        <w:t xml:space="preserve">(stonadge2023understandingtherole pages 148-153): AJ Stonadge. Understanding the role of zakβ in the maintenance and regulation of skeletal muscle function. Unknown journal, 2023.</w:t>
      </w:r>
    </w:p>
    <w:p>
      <w:pPr>
        <w:numPr>
          <w:ilvl w:val="0"/>
          <w:numId w:val="1002"/>
        </w:numPr>
      </w:pPr>
      <w:r>
        <w:t xml:space="preserve">(OpenTargets Search: -MAP3K20): Open Targets Query (-MAP3K20, 5 results). Buniello, A. et al. (2025). Open Targets Platform: facilitating therapeutic hypotheses building in drug discovery. Nucleic Acids Research.</w:t>
      </w:r>
    </w:p>
    <w:p>
      <w:pPr>
        <w:numPr>
          <w:ilvl w:val="0"/>
          <w:numId w:val="1002"/>
        </w:numPr>
      </w:pPr>
      <w:r>
        <w:t xml:space="preserve">(dan2001theste20group pages 2-3): Ippeita Dan, Norinobu M. Watanabe, and A. Kusumi. The ste20 group kinases as regulators of map kinase cascades. Trends in cell biology, 11 5:220-30, May 2001. URL: https://doi.org/10.1016/s0962-8924(01)01980-8, doi:10.1016/s0962-8924(01)01980-8. This article has 822 citations and is from a domain leading peer-reviewed journal.</w:t>
      </w:r>
    </w:p>
    <w:p>
      <w:pPr>
        <w:numPr>
          <w:ilvl w:val="0"/>
          <w:numId w:val="1002"/>
        </w:numPr>
      </w:pPr>
      <w:r>
        <w:t xml:space="preserve">(stonadge2023myofibrillarmyopathyhallmarks pages 1-1): Amy Stonadge, Aitana V Genzor, Alex Russell, Mohamed F Hamed, Norma Romero, Gareth Evans, Mary Elizabeth Pownall, Simon Bekker-Jensen, and Gonzalo Blanco. Myofibrillar myopathy hallmarks associated with zak deficiency. Human Molecular Genetics, 32:2751-2770, Jul 2023. URL: https://doi.org/10.1093/hmg/ddad113, doi:10.1093/hmg/ddad113. This article has 2 citations and is from a domain leading peer-reviewed journal.</w:t>
      </w:r>
    </w:p>
    <w:p>
      <w:pPr>
        <w:numPr>
          <w:ilvl w:val="0"/>
          <w:numId w:val="1002"/>
        </w:numPr>
      </w:pPr>
      <w:r>
        <w:t xml:space="preserve">(stonadge2023understandingtherole pages 97-103): AJ Stonadge. Understanding the role of zakβ in the maintenance and regulation of skeletal muscle function. Unknown journal, 2023.</w:t>
      </w:r>
    </w:p>
    <w:p>
      <w:pPr>
        <w:numPr>
          <w:ilvl w:val="0"/>
          <w:numId w:val="1002"/>
        </w:numPr>
      </w:pPr>
      <w:r>
        <w:t xml:space="preserve">(manzoor2012mitogenactivatedproteinkinases pages 3-5): Zahid Manzoor and Young-Sang Koh. Mitogen-activated protein kinases in inflammation. Journal of Bacteriology and Virology, 42:189-195, Sep 2012. URL: https://doi.org/10.4167/jbv.2012.42.3.189, doi:10.4167/jbv.2012.42.3.189. This article has 86 citations.</w:t>
      </w:r>
    </w:p>
    <w:p>
      <w:pPr>
        <w:numPr>
          <w:ilvl w:val="0"/>
          <w:numId w:val="1002"/>
        </w:numPr>
      </w:pPr>
      <w:r>
        <w:t xml:space="preserve">(pearson2001mitogenactivatedprotein(map) pages 1-2):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p>
      <w:pPr>
        <w:numPr>
          <w:ilvl w:val="0"/>
          <w:numId w:val="1002"/>
        </w:numPr>
      </w:pPr>
      <w:r>
        <w:t xml:space="preserve">(vind2020ribosomalstresssurveillancethree pages 10-10): Anna Constance Vind, Aitana Victoria Genzor, and Simon Bekker-Jensen. Ribosomal stress-surveillance: three pathways is a magic number. Nucleic Acids Research, 48:10648-10661, Sep 2020. URL: https://doi.org/10.1093/nar/gkaa757, doi:10.1093/nar/gkaa757. This article has 134 citations and is from a highest quality peer-reviewed journal.</w:t>
      </w:r>
    </w:p>
    <w:p>
      <w:pPr>
        <w:numPr>
          <w:ilvl w:val="0"/>
          <w:numId w:val="1002"/>
        </w:numPr>
      </w:pPr>
      <w:r>
        <w:t xml:space="preserve">(avruch2007mapkinasepathways pages 2-3): Joseph Avruch. Map kinase pathways: the first twenty years. Biochimica et Biophysica Acta (BBA) - Molecular Cell Research, 1773:1150-1160, Aug 2007. URL: https://doi.org/10.1016/j.bbamcr.2006.11.006, doi:10.1016/j.bbamcr.2006.11.006. This article has 419 citations.</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2025-06-18T18:52:32Z</dcterms:created>
  <dcterms:modified xsi:type="dcterms:W3CDTF">2025-06-18T18:52:32Z</dcterms:modified>
</cp:coreProperties>
</file>

<file path=docProps/custom.xml><?xml version="1.0" encoding="utf-8"?>
<Properties xmlns="http://schemas.openxmlformats.org/officeDocument/2006/custom-properties" xmlns:vt="http://schemas.openxmlformats.org/officeDocument/2006/docPropsVTypes"/>
</file>