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Protein kinase C beta (PKCβ), encoded by the PRKCB gene (also designated as PKCB or PRKCB1, Uniprot P05771), is a member of the AGC kinase superfamily, a group of serine/threonine kinases regulated by second messengers such as cyclic nucleotides and diacylglycerol (DAG). Phylogenetic studies analyzing kinase domain sequences demonstrate that the AGC kinase group is evolutionarily ancient, with its origins traceable to the last eukaryotic common ancestor (LECA). The conventional or classical PKC isoforms – which include PKCα, PKCβ, and PKCγ – share a common domain architecture that has been retained from early metazoans. For example, analyses in Schistosoma mansoni have shown that proteins related to the PKC family possess conserved catalytic and regulatory domains, suggesting that the functional architecture of PKCβ is preserved from invertebrates to vertebrates (andrade2011eukaryoticproteinkinases pages 4-5, arencibia2013agcproteinkinases pages 2-3). In this context, PKCβ’s evolutionary trajectory is marked by gene duplication and diversification events that have generated isoforms with distinct regulatory nuances and tissue-specific expression patterns in higher eukaryotes. Comprehensive kinase phylogenies further place PKCβ within a distinct branch of the AGC group, underscoring its close evolutionary relationship with other lipid‐regulated kinases that share similar catalytic cores and membrane-targeting motifs (bradley2019evolutionofprotein pages 1-2, kannan2007structuralandfunctional pages 1-2). These observations collectively indicate that PKCβ has maintained its characteristic modular organization and regulatory mechanisms throughout evolution, reflecting the importance of its role in fundamental cellular signaling processes.</w:t>
      </w:r>
    </w:p>
    <w:p>
      <w:pPr>
        <w:numPr>
          <w:ilvl w:val="0"/>
          <w:numId w:val="1001"/>
        </w:numPr>
      </w:pPr>
      <w:r>
        <w:t xml:space="preserve">Reaction Catalyzed</w:t>
      </w:r>
      <w:r>
        <w:br/>
      </w:r>
      <w:r>
        <w:t xml:space="preserve">PKCβ catalyzes the ATP-dependent phosphorylation of protein substrates by transferring the terminal γ-phosphate from ATP to the hydroxyl group of serine or threonine residues. The reaction mechanism can be summarized as follows:</w:t>
      </w:r>
      <w:r>
        <w:br/>
      </w:r>
      <w:r>
        <w:t xml:space="preserve">  ATP + [protein]–(L-serine or L-threonine) → ADP + [protein]–(L-serine/threonine)-phosphate + H⁺</w:t>
      </w:r>
      <w:r>
        <w:br/>
      </w:r>
      <w:r>
        <w:t xml:space="preserve">Within the catalytic domain, ATP binds in a cleft formed by a bilobal kinase structure, and the transfer of the phosphate group occurs through a dissociative transition state, where the bond between the β and γ phosphates is cleaved almost concurrently with the formation of the new P–O bond to the substrate. The reaction follows a ternary complex mechanism without forming a covalent enzyme intermediate, and it is stabilized by divalent metal ions in the active site (wang2014catalyticmechanismsand pages 1-3, steinberg2008structuralbasisof pages 19-20). This precise molecular event results in a post-translational modification that modulates the activity, interactions, and localization of target proteins and is central to the regulation of a variety of cellular pathways.</w:t>
      </w:r>
    </w:p>
    <w:p>
      <w:pPr>
        <w:numPr>
          <w:ilvl w:val="0"/>
          <w:numId w:val="1001"/>
        </w:numPr>
      </w:pPr>
      <w:r>
        <w:t xml:space="preserve">Cofactor Requirements</w:t>
      </w:r>
      <w:r>
        <w:br/>
      </w:r>
      <w:r>
        <w:t xml:space="preserve">The enzymatic activity of PKCβ is critically dependent on a set of cofactors that ensure proper substrate orientation and activation. The binding of Mg²⁺ is essential for ATP coordination within the kinase’s active site. Mg²⁺ ions interact with the phosphate groups of ATP, thereby stabilizing the nucleotide in the proper conformation for phosphoryl transfer (wang2014catalyticmechanismsand pages 1-3). In addition, PKCβ is classified as a conventional PKC isoform because its activation requires the binding of Ca²⁺. Calcium ions bind to the C2 domain of PKCβ, promoting electrostatic interactions with negatively charged phospholipids in the plasma membrane. This Ca²⁺-dependent membrane targeting is pivotal for the enzyme’s proper subcellular localization and subsequent activation (webb2000proteinkinasec pages 1-2, steinberg2008structuralbasisof pages 2-3). Moreover, the regulatory function of PKCβ depends on the membrane association driven by DAG, which binds to the tandem C1 domains. The presence of phosphatidylserine (PS) significantly enhances these interactions by contributing to the membrane’s negative charge, thereby stabilizing the binding of the C1 domains to DAG (webb2000proteinkinasec pages 2-3). Together, Mg²⁺, Ca²⁺, DAG, and PS form the cofactor ensemble required for both the catalytic activity and the regulated membrane translocation of PKCβ.</w:t>
      </w:r>
    </w:p>
    <w:p>
      <w:pPr>
        <w:numPr>
          <w:ilvl w:val="0"/>
          <w:numId w:val="1001"/>
        </w:numPr>
      </w:pPr>
      <w:r>
        <w:t xml:space="preserve">Substrate Specificity</w:t>
      </w:r>
      <w:r>
        <w:br/>
      </w:r>
      <w:r>
        <w:t xml:space="preserve">PKCβ shows a clear preference for phosphorylating serine and threonine residues on protein substrates, consistent with its classification as a serine/threonine kinase. While the identification of a universal consensus motif for all substrates of PKCβ is challenging due to the diversity of its substrates, experimental data have provided insights into its target specificity. Notably, in the context of immune signaling, PKCβ phosphorylates CARD11/CARMA1 on serine residues located at positions 559, 644, and 652. These phosphorylation events are critical for the subsequent recruitment of the BCL10–MALT1 complex and the activation of the NF-κB pathway in B cells (steinberg2008structuralbasisof pages 29-31, sridhar2000proteinkinasesas pages 6-7). Additionally, PKCβ phosphorylates Bruton’s tyrosine kinase (BTK) at serine 180, a modification that plays a role in the negative feedback regulation of B-cell receptor signaling. The specificity of PKCβ for these sites is determined by local structural features in the substrate proteins that facilitate effective docking and alignment with the kinase’s active site. Although comprehensive substrate motif mapping studies have not yielded an all-encompassing consensus sequence for PKCβ, these functionally characterized phosphorylation events illustrate its substrate selection strategy, which is often linked to key signaling complexes involved in B-cell activation and immune regulation.</w:t>
      </w:r>
    </w:p>
    <w:p>
      <w:pPr>
        <w:numPr>
          <w:ilvl w:val="0"/>
          <w:numId w:val="1001"/>
        </w:numPr>
      </w:pPr>
      <w:r>
        <w:t xml:space="preserve">Structure</w:t>
      </w:r>
      <w:r>
        <w:br/>
      </w:r>
      <w:r>
        <w:t xml:space="preserve">The three-dimensional structure of PKCβ is defined by a modular organization that integrates both regulatory and catalytic functions in a highly coordinated manner. At the N-terminus, the regulatory region contains two tandem C1 domains (C1A and C1B) and a C2 domain.</w:t>
      </w:r>
      <w:r>
        <w:br/>
      </w:r>
      <w:r>
        <w:t xml:space="preserve">  • The C1 domains: These are cysteine-rich zinc finger motifs that coordinate zinc ions via conserved histidine and cysteine residues. The C1A and C1B domains are responsible for binding DAG and phorbol esters, acting as the primary sensors for lipid-derived second messengers. In PKCβ, the C1B domain is particularly important for achieving high-affinity interactions with DAG, which is essential for the enzyme’s membrane recruitment (webb2000proteinkinasec pages 1-2, steinberg2008structuralbasisof pages 3-5).</w:t>
      </w:r>
      <w:r>
        <w:br/>
      </w:r>
      <w:r>
        <w:t xml:space="preserve">  • The C2 domain: Unique to conventional PKC isoforms, the C2 domain binds Ca²⁺ ions in a calcium-dependent manner, thereby facilitating interactions with anionic phospholipids such as phosphatidylserine. This domain plays a pivotal role in initial membrane binding following an increase in intracellular Ca²⁺ levels (steinberg2008structuralbasisof pages 2-3).</w:t>
      </w:r>
      <w:r>
        <w:br/>
      </w:r>
      <w:r>
        <w:t xml:space="preserve">  • The pseudosubstrate region: Embedded within the regulatory region is a pseudosubstrate sequence that, under resting conditions, occupies the active site of the kinase, thereby preventing unwarranted substrate phosphorylation and maintaining the enzyme in an autoinhibited state.</w:t>
      </w:r>
    </w:p>
    <w:p>
      <w:pPr>
        <w:pStyle w:val="FirstParagraph"/>
      </w:pPr>
      <w:r>
        <w:t xml:space="preserve">At the C-terminal end of PKCβ lies the catalytic domain, which adopts the canonical bilobal architecture characteristic of AGC kinases.</w:t>
      </w:r>
      <w:r>
        <w:br/>
      </w:r>
      <w:r>
        <w:t xml:space="preserve">  • The N-terminal lobe of the catalytic domain is composed mainly of β-sheets and contains a glycine-rich loop essential for coordinating ATP binding. This loop is a critical structural element that ensures accurate positioning of the nucleotide for phosphoryl transfer (steinberg2008structuralbasisof pages 12-14, modi2019astructurallyvalidatedmultiple pages 10-12).</w:t>
      </w:r>
      <w:r>
        <w:br/>
      </w:r>
      <w:r>
        <w:t xml:space="preserve">  • The C-terminal lobe is predominantly α-helical and provides the structural scaffold necessary for substrate binding and catalysis. Within this lobe, a strictly conserved lysine residue is indispensable for ATP binding; its interaction with ATP is a prerequisite for the catalytic activity of PKCβ.</w:t>
      </w:r>
      <w:r>
        <w:br/>
      </w:r>
      <w:r>
        <w:t xml:space="preserve">  • The activation loop, located between the lobes, must be phosphorylated to achieve full catalytic competence. This phosphorylation event reorients key catalytic residues and is typically mediated by upstream kinases such as phosphoinositide-dependent kinase-1 (PDK1).</w:t>
      </w:r>
      <w:r>
        <w:br/>
      </w:r>
      <w:r>
        <w:t xml:space="preserve">  • The V5 domain: A unique feature of PKC isoforms, particularly relevant for PKCβ, is the presence of a variable C-terminal V5 domain. This segment contributes to subcellular targeting by recruiting receptor for activated C kinase (RACK) proteins and other scaffolding factors. Structural studies and validated multiple sequence alignments underscore the importance of the V5 domain in modulating spatial signaling outputs (steinberg2008structuralbasisof pages 24-25, modi2019astructurallyvalidatedmultiple pages 12-13).</w:t>
      </w:r>
      <w:r>
        <w:br/>
      </w:r>
      <w:r>
        <w:t xml:space="preserve">The overall structural design, with its tightly coupled regulatory and catalytic modules, allows PKCβ to maintain an inactive state under basal conditions and to transition rapidly to an active state upon receiving appropriate intracellular signals such as Ca²⁺ and DAG (steinberg2008structuralbasisof pages 32-33, modi2019astructurallyvalidatedmultiple pages 8-10). High-resolution structural data obtained from crystallography and validated computational models provide detailed insights into the domain organization, interdomain interactions, and conformational flexibility that underpin PKCβ’s function.</w:t>
      </w:r>
    </w:p>
    <w:p>
      <w:pPr>
        <w:numPr>
          <w:ilvl w:val="0"/>
          <w:numId w:val="1002"/>
        </w:numPr>
      </w:pPr>
      <w:r>
        <w:t xml:space="preserve">Regulation</w:t>
      </w:r>
      <w:r>
        <w:br/>
      </w:r>
      <w:r>
        <w:t xml:space="preserve">The activity of PKCβ is subject to stringent regulation orchestrated through multiple interconnected mechanisms that ensure rapid, robust, and context-specific responses to extracellular and intracellular signals. At the heart of this regulation is the autoinhibitory mechanism conferred by the internal pseudosubstrate, which occupies the catalytic site in the absence of activating signals. Upon receptor stimulation, an increase in intracellular Ca²⁺ allows Ca²⁺ ions to bind to the C2 domain. This event triggers initial membrane association through electrostatic interactions with phosphatidylserine in the plasma membrane (steinberg2008structuralbasisof pages 3-5, steinberg2008structuralbasisof pages 7-8).</w:t>
      </w:r>
      <w:r>
        <w:br/>
      </w:r>
      <w:r>
        <w:t xml:space="preserve">Subsequently, DAG produced by receptor-mediated phospholipase C activity binds to the C1 domains. The combined interaction of Ca²⁺-induced membrane binding and DAG engagement displaces the pseudosubstrate from the catalytic cleft, thus unmasking the active site of PKCβ for substrate binding and catalysis. The efficient membrane targeting induced by these lipid signals is further augmented by the high local concentration of phosphatidylserine, which stabilizes the enzyme’s association with the membrane.</w:t>
      </w:r>
      <w:r>
        <w:br/>
      </w:r>
      <w:r>
        <w:t xml:space="preserve">Once PKCβ has translocated to the membrane, its catalytic domain must be primed by phosphorylation events for full activation. Phosphoinositide-dependent kinase-1 (PDK1) phosphorylates a conserved threonine residue within the activation loop. This modification is critical for aligning the catalytic residues and enabling efficient ATP binding and subsequent phosphoryl transfer (steinberg2008structuralbasisof pages 14-15, webb2000proteinkinasec pages 3-4). In addition to PDK1-mediated phosphorylation, PKCβ undergoes autophosphorylation at conserved motifs within the V5 domain, including the turn and hydrophobic motifs. These phosphorylation events stabilize the active conformation of PKCβ, rendering it resistant to dephosphorylation and proteolytic degradation.</w:t>
      </w:r>
      <w:r>
        <w:br/>
      </w:r>
      <w:r>
        <w:t xml:space="preserve">Furthermore, interactions with receptor for activated C kinase (RACK) proteins provide an additional level of regulation by sequestering active PKCβ at specific subcellular sites. RACK binding, facilitated by distinct sequences within the regulatory region, helps localize PKCβ to discrete membrane microdomains where it can phosphorylate selected substrates (steinberg2008structuralbasisof pages 6-7, sridhar2000proteinkinasesas pages 6-7). Together, these layers of regulation – encompassing calcium- and lipid-mediated membrane targeting, multi-site phosphorylation for activation, and scaffolding interactions for spatial fidelity – ensure that PKCβ activity is precisely modulated in response to a variety of signaling inputs.</w:t>
      </w:r>
    </w:p>
    <w:p>
      <w:pPr>
        <w:numPr>
          <w:ilvl w:val="0"/>
          <w:numId w:val="1002"/>
        </w:numPr>
      </w:pPr>
      <w:r>
        <w:t xml:space="preserve">Function</w:t>
      </w:r>
      <w:r>
        <w:br/>
      </w:r>
      <w:r>
        <w:t xml:space="preserve">PKCβ is a multifunctional kinase that integrates diverse signaling cues to modulate critical cellular processes. In the immune system, PKCβ occupies a central role in B-cell activation. Upon engagement of the B-cell receptor (BCR), PKCβ is activated and phosphorylates CARD11/CARMA1 at serine residues 559, 644, and 652. This post-translational modification is essential for the assembly of the BCL10–MALT1 complex, which, in turn, activates the canonical NF-κB pathway and leads to nuclear translocation of NF-κB transcription factors. This signaling cascade underpins the transcriptional programs necessary for B-cell activation, proliferation, and differentiation (steinberg2008structuralbasisof pages 29-31, sridhar2000proteinkinasesas pages 6-7).</w:t>
      </w:r>
      <w:r>
        <w:br/>
      </w:r>
      <w:r>
        <w:t xml:space="preserve">In parallel, PKCβ is involved in the negative feedback regulation of BCR signaling through the phosphorylation of Bruton’s tyrosine kinase (BTK) at serine 180. This modification modulates BTK activity, thereby fine-tuning the strength and duration of B-cell activation signals.</w:t>
      </w:r>
      <w:r>
        <w:br/>
      </w:r>
      <w:r>
        <w:t xml:space="preserve">Beyond its pivotal role in immune cell signaling, PKCβ has a broad impact on various cellular pathways. It participates in the regulation of oxidative stress-induced apoptosis, an important process in maintaining cellular homeostasis under conditions of metabolic and oxidative challenge. PKCβ also modulates insulin signaling by affecting the phosphorylation status of key effectors, thereby contributing to the regulation of glucose metabolism. Furthermore, PKCβ influences androgen receptor-dependent transcription, which has implications for the control of gene expression in hormone-responsive tissues. Its involvement in endothelial cell proliferation further underscores its role in vascular homeostasis and angiogenic processes (arencibia2013agcproteinkinases pages 2-3, taylor2022thetailsof pages 17-19).</w:t>
      </w:r>
      <w:r>
        <w:br/>
      </w:r>
      <w:r>
        <w:t xml:space="preserve">The widespread tissue expression of PKCβ, combined with its integration of Ca²⁺, DAG, and phosphorylation signals, allows it to serve as a central node in a variety of signaling networks. This versatility enables PKCβ to influence cell proliferation, differentiation, metabolism, and apoptosis in a context-dependent manner, thereby fulfilling essential roles in both normal physiology and pathophysiological conditions.</w:t>
      </w:r>
    </w:p>
    <w:p>
      <w:pPr>
        <w:numPr>
          <w:ilvl w:val="0"/>
          <w:numId w:val="1002"/>
        </w:numPr>
      </w:pPr>
      <w:r>
        <w:t xml:space="preserve">Other Comments</w:t>
      </w:r>
      <w:r>
        <w:br/>
      </w:r>
      <w:r>
        <w:t xml:space="preserve">Owing to its central involvement in diverse signaling pathways, PKCβ has garnered considerable attention as a therapeutic target. Broad-spectrum inhibitors, such as chelerythrine and calphostin C, have been utilized experimentally to inhibit PKC activity; however, these compounds generally lack isoform specificity and affect multiple members of the PKC family (sridhar2000proteinkinasesas pages 6-7). In parallel, strategies employing antisense oligonucleotides have been developed to modulate PKCβ expression, although their specificity remains suboptimal.</w:t>
      </w:r>
      <w:r>
        <w:br/>
      </w:r>
      <w:r>
        <w:t xml:space="preserve">Aberrant activation or dysregulation of PKCβ has been implicated in several clinical conditions. In the immune system, improper regulation of PKCβ-mediated signaling can contribute to lymphoid malignancies by altering NF-κB pathway dynamics. Similarly, disruptions in PKCβ activity have been linked to insulin resistance and metabolic syndrome, likely through its effects on insulin signaling networks. Cardiovascular diseases, including pathological processes in the endothelium and vascular smooth muscle, have also been associated with dysfunctional PKCβ activity. Moreover, the intricate regulation of PKCβ by alternative splicing and post-translational modifications adds further complexity to its role as a potential disease target, emphasizing the need for the development of inhibitors with enhanced specificity and potency (steinberg2008structuralbasisof pages 37-39, blazquez2020potentialforprotein pages 1-2). Continued research aimed at elucidating the fine details of PKCβ regulation and substrate specificity could inform the development of next-generation therapeutics that target this kinase in a range of disease contexts.</w:t>
      </w:r>
    </w:p>
    <w:p>
      <w:pPr>
        <w:numPr>
          <w:ilvl w:val="0"/>
          <w:numId w:val="1002"/>
        </w:numPr>
      </w:pPr>
      <w:r>
        <w:t xml:space="preserve">References</w:t>
      </w:r>
      <w:r>
        <w:br/>
      </w:r>
    </w:p>
    <w:p>
      <w:pPr>
        <w:numPr>
          <w:ilvl w:val="0"/>
          <w:numId w:val="1002"/>
        </w:numPr>
      </w:pPr>
      <w:r>
        <w:t xml:space="preserve">andrade2011eukaryoticproteinkinases pages 4-5</w:t>
      </w:r>
      <w:r>
        <w:br/>
      </w:r>
    </w:p>
    <w:p>
      <w:pPr>
        <w:numPr>
          <w:ilvl w:val="0"/>
          <w:numId w:val="1002"/>
        </w:numPr>
      </w:pPr>
      <w:r>
        <w:t xml:space="preserve">arencibia2013agcproteinkinases pages 2-3</w:t>
      </w:r>
      <w:r>
        <w:br/>
      </w:r>
    </w:p>
    <w:p>
      <w:pPr>
        <w:numPr>
          <w:ilvl w:val="0"/>
          <w:numId w:val="1002"/>
        </w:numPr>
      </w:pPr>
      <w:r>
        <w:t xml:space="preserve">steinberg2008structuralbasisof pages 1-2</w:t>
      </w:r>
      <w:r>
        <w:br/>
      </w:r>
    </w:p>
    <w:p>
      <w:pPr>
        <w:numPr>
          <w:ilvl w:val="0"/>
          <w:numId w:val="1002"/>
        </w:numPr>
      </w:pPr>
      <w:r>
        <w:t xml:space="preserve">steinberg2008structuralbasisof pages 2-3</w:t>
      </w:r>
      <w:r>
        <w:br/>
      </w:r>
    </w:p>
    <w:p>
      <w:pPr>
        <w:numPr>
          <w:ilvl w:val="0"/>
          <w:numId w:val="1002"/>
        </w:numPr>
      </w:pPr>
      <w:r>
        <w:t xml:space="preserve">steinberg2008structuralbasisof pages 3-5</w:t>
      </w:r>
      <w:r>
        <w:br/>
      </w:r>
    </w:p>
    <w:p>
      <w:pPr>
        <w:numPr>
          <w:ilvl w:val="0"/>
          <w:numId w:val="1002"/>
        </w:numPr>
      </w:pPr>
      <w:r>
        <w:t xml:space="preserve">steinberg2008structuralbasisof pages 25-26</w:t>
      </w:r>
      <w:r>
        <w:br/>
      </w:r>
    </w:p>
    <w:p>
      <w:pPr>
        <w:numPr>
          <w:ilvl w:val="0"/>
          <w:numId w:val="1002"/>
        </w:numPr>
      </w:pPr>
      <w:r>
        <w:t xml:space="preserve">steinberg2008structuralbasisof pages 29-31</w:t>
      </w:r>
      <w:r>
        <w:br/>
      </w:r>
    </w:p>
    <w:p>
      <w:pPr>
        <w:numPr>
          <w:ilvl w:val="0"/>
          <w:numId w:val="1002"/>
        </w:numPr>
      </w:pPr>
      <w:r>
        <w:t xml:space="preserve">webb2000proteinkinasec pages 1-2</w:t>
      </w:r>
      <w:r>
        <w:br/>
      </w:r>
    </w:p>
    <w:p>
      <w:pPr>
        <w:numPr>
          <w:ilvl w:val="0"/>
          <w:numId w:val="1002"/>
        </w:numPr>
      </w:pPr>
      <w:r>
        <w:t xml:space="preserve">webb2000proteinkinasec pages 2-3</w:t>
      </w:r>
      <w:r>
        <w:br/>
      </w:r>
    </w:p>
    <w:p>
      <w:pPr>
        <w:numPr>
          <w:ilvl w:val="0"/>
          <w:numId w:val="1002"/>
        </w:numPr>
      </w:pPr>
      <w:r>
        <w:t xml:space="preserve">steinberg2008structuralbasisof pages 33-34</w:t>
      </w:r>
      <w:r>
        <w:br/>
      </w:r>
    </w:p>
    <w:p>
      <w:pPr>
        <w:numPr>
          <w:ilvl w:val="0"/>
          <w:numId w:val="1002"/>
        </w:numPr>
      </w:pPr>
      <w:r>
        <w:t xml:space="preserve">sridhar2000proteinkinasesas pages 6-7</w:t>
      </w:r>
      <w:r>
        <w:br/>
      </w:r>
    </w:p>
    <w:p>
      <w:pPr>
        <w:numPr>
          <w:ilvl w:val="0"/>
          <w:numId w:val="1002"/>
        </w:numPr>
      </w:pPr>
      <w:r>
        <w:t xml:space="preserve">modi2019astructurallyvalidatedmultiple pages 10-12</w:t>
      </w:r>
      <w:r>
        <w:br/>
      </w:r>
    </w:p>
    <w:p>
      <w:pPr>
        <w:numPr>
          <w:ilvl w:val="0"/>
          <w:numId w:val="1002"/>
        </w:numPr>
      </w:pPr>
      <w:r>
        <w:t xml:space="preserve">modi2019astructurallyvalidatedmultiple pages 12-13</w:t>
      </w:r>
      <w:r>
        <w:br/>
      </w:r>
    </w:p>
    <w:p>
      <w:pPr>
        <w:numPr>
          <w:ilvl w:val="0"/>
          <w:numId w:val="1002"/>
        </w:numPr>
      </w:pPr>
      <w:r>
        <w:t xml:space="preserve">modi2019astructurallyvalidatedmultiple pages 8-10</w:t>
      </w:r>
      <w:r>
        <w:br/>
      </w:r>
    </w:p>
    <w:p>
      <w:pPr>
        <w:numPr>
          <w:ilvl w:val="0"/>
          <w:numId w:val="1002"/>
        </w:numPr>
      </w:pPr>
      <w:r>
        <w:t xml:space="preserve">taylor2022thetailsof pages 17-19</w:t>
      </w:r>
      <w:r>
        <w:br/>
      </w:r>
    </w:p>
    <w:p>
      <w:pPr>
        <w:numPr>
          <w:ilvl w:val="0"/>
          <w:numId w:val="1002"/>
        </w:numPr>
      </w:pPr>
      <w:r>
        <w:t xml:space="preserve">taylor2022thetailsof pages 9-10</w:t>
      </w:r>
      <w:r>
        <w:br/>
      </w:r>
    </w:p>
    <w:p>
      <w:pPr>
        <w:numPr>
          <w:ilvl w:val="0"/>
          <w:numId w:val="1002"/>
        </w:numPr>
      </w:pPr>
      <w:r>
        <w:t xml:space="preserve">wang2014catalyticmechanismsand pages 1-3</w:t>
      </w:r>
      <w:r>
        <w:br/>
      </w:r>
    </w:p>
    <w:p>
      <w:pPr>
        <w:numPr>
          <w:ilvl w:val="0"/>
          <w:numId w:val="1002"/>
        </w:numPr>
      </w:pPr>
      <w:r>
        <w:t xml:space="preserve">wang2014catalyticmechanismsand pages 3-4</w:t>
      </w:r>
      <w:r>
        <w:br/>
      </w:r>
    </w:p>
    <w:p>
      <w:pPr>
        <w:numPr>
          <w:ilvl w:val="0"/>
          <w:numId w:val="1002"/>
        </w:numPr>
      </w:pPr>
      <w:r>
        <w:t xml:space="preserve">bradley2019evolutionofprotein pages 1-2</w:t>
      </w:r>
      <w:r>
        <w:br/>
      </w:r>
    </w:p>
    <w:p>
      <w:pPr>
        <w:numPr>
          <w:ilvl w:val="0"/>
          <w:numId w:val="1002"/>
        </w:numPr>
      </w:pPr>
      <w:r>
        <w:t xml:space="preserve">kannan2007structuralandfunctional pages 1-2</w:t>
      </w:r>
    </w:p>
    <w:p>
      <w:pPr>
        <w:pStyle w:val="FirstParagraph"/>
      </w:pPr>
      <w:r>
        <w:t xml:space="preserve">References</w:t>
      </w:r>
    </w:p>
    <w:p>
      <w:pPr>
        <w:numPr>
          <w:ilvl w:val="0"/>
          <w:numId w:val="1003"/>
        </w:numPr>
      </w:pPr>
      <w:r>
        <w:t xml:space="preserve">(andrade2011eukaryoticproteinkinases pages 4-5): Luiza F Andrade, Laila A Nahum, Lívia GA Avelar, Larissa L Silva, Adhemar Zerlotini, Jerônimo C Ruiz, and Guilherme Oliveira. Eukaryotic protein kinases (epks) of the helminth parasite schistosoma mansoni. BMC Genomics, 12:215-215, May 2011. URL: https://doi.org/10.1186/1471-2164-12-215, doi:10.1186/1471-2164-12-215. This article has 97 citations and is from a peer-reviewed journal.</w:t>
      </w:r>
    </w:p>
    <w:p>
      <w:pPr>
        <w:numPr>
          <w:ilvl w:val="0"/>
          <w:numId w:val="1003"/>
        </w:numPr>
      </w:pPr>
      <w:r>
        <w:t xml:space="preserve">(arencibia2013agcproteinkinases pages 2-3):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3"/>
        </w:numPr>
      </w:pPr>
      <w:r>
        <w:t xml:space="preserve">(steinberg2008structuralbasisof pages 1-2):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3"/>
        </w:numPr>
      </w:pPr>
      <w:r>
        <w:t xml:space="preserve">(steinberg2008structuralbasisof pages 2-3):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3"/>
        </w:numPr>
      </w:pPr>
      <w:r>
        <w:t xml:space="preserve">(steinberg2008structuralbasisof pages 25-26):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3"/>
        </w:numPr>
      </w:pPr>
      <w:r>
        <w:t xml:space="preserve">(steinberg2008structuralbasisof pages 29-31):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3"/>
        </w:numPr>
      </w:pPr>
      <w:r>
        <w:t xml:space="preserve">(steinberg2008structuralbasisof pages 3-5):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3"/>
        </w:numPr>
      </w:pPr>
      <w:r>
        <w:t xml:space="preserve">(steinberg2008structuralbasisof pages 33-34):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3"/>
        </w:numPr>
      </w:pPr>
      <w:r>
        <w:t xml:space="preserve">(webb2000proteinkinasec pages 1-2): Benjamin L J Webb, Stuart J Hirst, and Mark A Giembycz. Protein kinase c isoenzymes: a review of their structure, regulation and role in regulating airways smooth muscle tone and mitogenesis. British Journal of Pharmacology, 130:1433-1452, Aug 2000. URL: https://doi.org/10.1038/sj.bjp.0703452, doi:10.1038/sj.bjp.0703452. This article has 231 citations and is from a highest quality peer-reviewed journal.</w:t>
      </w:r>
    </w:p>
    <w:p>
      <w:pPr>
        <w:numPr>
          <w:ilvl w:val="0"/>
          <w:numId w:val="1003"/>
        </w:numPr>
      </w:pPr>
      <w:r>
        <w:t xml:space="preserve">(webb2000proteinkinasec pages 2-3): Benjamin L J Webb, Stuart J Hirst, and Mark A Giembycz. Protein kinase c isoenzymes: a review of their structure, regulation and role in regulating airways smooth muscle tone and mitogenesis. British Journal of Pharmacology, 130:1433-1452, Aug 2000. URL: https://doi.org/10.1038/sj.bjp.0703452, doi:10.1038/sj.bjp.0703452. This article has 231 citations and is from a highest quality peer-reviewed journal.</w:t>
      </w:r>
    </w:p>
    <w:p>
      <w:pPr>
        <w:numPr>
          <w:ilvl w:val="0"/>
          <w:numId w:val="1003"/>
        </w:numPr>
      </w:pPr>
      <w:r>
        <w:t xml:space="preserve">(webb2000proteinkinasec pages 3-4): Benjamin L J Webb, Stuart J Hirst, and Mark A Giembycz. Protein kinase c isoenzymes: a review of their structure, regulation and role in regulating airways smooth muscle tone and mitogenesis. British Journal of Pharmacology, 130:1433-1452, Aug 2000. URL: https://doi.org/10.1038/sj.bjp.0703452, doi:10.1038/sj.bjp.0703452. This article has 231 citations and is from a highest quality peer-reviewed journal.</w:t>
      </w:r>
    </w:p>
    <w:p>
      <w:pPr>
        <w:numPr>
          <w:ilvl w:val="0"/>
          <w:numId w:val="1003"/>
        </w:numPr>
      </w:pPr>
      <w:r>
        <w:t xml:space="preserve">(blazquez2020potentialforprotein pages 1-2): Ana-Belén Blázquez and Juan-Carlos Saiz. Potential for protein kinase pharmacological regulation in flaviviridae infections. International Journal of Molecular Sciences, 21:9524, Dec 2020. URL: https://doi.org/10.3390/ijms21249524, doi:10.3390/ijms21249524. This article has 15 citations and is from a peer-reviewed journal.</w:t>
      </w:r>
    </w:p>
    <w:p>
      <w:pPr>
        <w:numPr>
          <w:ilvl w:val="0"/>
          <w:numId w:val="1003"/>
        </w:numPr>
      </w:pPr>
      <w:r>
        <w:t xml:space="preserve">(bradley2019evolutionofprotein pages 1-2):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3"/>
        </w:numPr>
      </w:pPr>
      <w:r>
        <w:t xml:space="preserve">(kannan2007structuralandfunctional pages 1-2): Natarajan Kannan, Susan S Taylor, Yufeng Zhai, J. Craig Venter, and Gerard Manning. Structural and functional diversity of the microbial kinome. PLoS Biology, 5:e17, Mar 2007. URL: https://doi.org/10.1371/journal.pbio.0050017, doi:10.1371/journal.pbio.0050017. This article has 323 citations and is from a highest quality peer-reviewed journal.</w:t>
      </w:r>
    </w:p>
    <w:p>
      <w:pPr>
        <w:numPr>
          <w:ilvl w:val="0"/>
          <w:numId w:val="1003"/>
        </w:numPr>
      </w:pPr>
      <w:r>
        <w:t xml:space="preserve">(modi2019astructurallyvalidatedmultiple pages 10-12): Vivek Modi and Roland L. Dunbrack. A structurally-validated multiple sequence alignment of 497 human protein kinase domains. Scientific Reports, Dec 2019. URL: https://doi.org/10.1038/s41598-019-56499-4, doi:10.1038/s41598-019-56499-4. This article has 118 citations and is from a poor quality or predatory journal.</w:t>
      </w:r>
    </w:p>
    <w:p>
      <w:pPr>
        <w:numPr>
          <w:ilvl w:val="0"/>
          <w:numId w:val="1003"/>
        </w:numPr>
      </w:pPr>
      <w:r>
        <w:t xml:space="preserve">(modi2019astructurallyvalidatedmultiple pages 12-13): Vivek Modi and Roland L. Dunbrack. A structurally-validated multiple sequence alignment of 497 human protein kinase domains. Scientific Reports, Dec 2019. URL: https://doi.org/10.1038/s41598-019-56499-4, doi:10.1038/s41598-019-56499-4. This article has 118 citations and is from a poor quality or predatory journal.</w:t>
      </w:r>
    </w:p>
    <w:p>
      <w:pPr>
        <w:numPr>
          <w:ilvl w:val="0"/>
          <w:numId w:val="1003"/>
        </w:numPr>
      </w:pPr>
      <w:r>
        <w:t xml:space="preserve">(modi2019astructurallyvalidatedmultiple pages 8-10): Vivek Modi and Roland L. Dunbrack. A structurally-validated multiple sequence alignment of 497 human protein kinase domains. Scientific Reports, Dec 2019. URL: https://doi.org/10.1038/s41598-019-56499-4, doi:10.1038/s41598-019-56499-4. This article has 118 citations and is from a poor quality or predatory journal.</w:t>
      </w:r>
    </w:p>
    <w:p>
      <w:pPr>
        <w:numPr>
          <w:ilvl w:val="0"/>
          <w:numId w:val="1003"/>
        </w:numPr>
      </w:pPr>
      <w:r>
        <w:t xml:space="preserve">(sridhar2000proteinkinasesas pages 6-7): Rajagopalan Sridhar, Olivia Hanson‐Painton, and Denise R. Cooper. Protein kinases as therapeutic targets. Pharmaceutical Research, 17:1345-1353, Nov 2000. URL: https://doi.org/10.1023/a:1007507224529, doi:10.1023/a:1007507224529. This article has 118 citations and is from a domain leading peer-reviewed journal.</w:t>
      </w:r>
    </w:p>
    <w:p>
      <w:pPr>
        <w:numPr>
          <w:ilvl w:val="0"/>
          <w:numId w:val="1003"/>
        </w:numPr>
      </w:pPr>
      <w:r>
        <w:t xml:space="preserve">(steinberg2008structuralbasisof pages 12-14):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3"/>
        </w:numPr>
      </w:pPr>
      <w:r>
        <w:t xml:space="preserve">(steinberg2008structuralbasisof pages 14-15):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3"/>
        </w:numPr>
      </w:pPr>
      <w:r>
        <w:t xml:space="preserve">(steinberg2008structuralbasisof pages 19-20):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3"/>
        </w:numPr>
      </w:pPr>
      <w:r>
        <w:t xml:space="preserve">(steinberg2008structuralbasisof pages 24-25):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3"/>
        </w:numPr>
      </w:pPr>
      <w:r>
        <w:t xml:space="preserve">(steinberg2008structuralbasisof pages 32-33):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3"/>
        </w:numPr>
      </w:pPr>
      <w:r>
        <w:t xml:space="preserve">(steinberg2008structuralbasisof pages 37-39):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3"/>
        </w:numPr>
      </w:pPr>
      <w:r>
        <w:t xml:space="preserve">(steinberg2008structuralbasisof pages 6-7):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3"/>
        </w:numPr>
      </w:pPr>
      <w:r>
        <w:t xml:space="preserve">(steinberg2008structuralbasisof pages 7-8): Susan F. Steinberg. Structural basis of protein kinase c isoform function. Physiological Reviews, 88:1341-1378, Oct 2008. URL: https://doi.org/10.1152/physrev.00034.2007, doi:10.1152/physrev.00034.2007. This article has 1161 citations and is from a highest quality peer-reviewed journal.</w:t>
      </w:r>
    </w:p>
    <w:p>
      <w:pPr>
        <w:numPr>
          <w:ilvl w:val="0"/>
          <w:numId w:val="1003"/>
        </w:numPr>
      </w:pPr>
      <w:r>
        <w:t xml:space="preserve">(taylor2022thetailsof pages 17-19): Susan S. Taylor, Kristoffer Søberg, Evan Kobori, Jian Wu, Sabine Pautz, Friedrich W. Herberg, and Bjørn Steen Skålhegg. The tails of protein kinase a. Molecular Pharmacology, 101:219-225, Apr 2022. URL: https://doi.org/10.1124/molpharm.121.000315, doi:10.1124/molpharm.121.000315. This article has 30 citations and is from a domain leading peer-reviewed journal.</w:t>
      </w:r>
    </w:p>
    <w:p>
      <w:pPr>
        <w:numPr>
          <w:ilvl w:val="0"/>
          <w:numId w:val="1003"/>
        </w:numPr>
      </w:pPr>
      <w:r>
        <w:t xml:space="preserve">(taylor2022thetailsof pages 9-10): Susan S. Taylor, Kristoffer Søberg, Evan Kobori, Jian Wu, Sabine Pautz, Friedrich W. Herberg, and Bjørn Steen Skålhegg. The tails of protein kinase a. Molecular Pharmacology, 101:219-225, Apr 2022. URL: https://doi.org/10.1124/molpharm.121.000315, doi:10.1124/molpharm.121.000315. This article has 30 citations and is from a domain leading peer-reviewed journal.</w:t>
      </w:r>
    </w:p>
    <w:p>
      <w:pPr>
        <w:numPr>
          <w:ilvl w:val="0"/>
          <w:numId w:val="1003"/>
        </w:numPr>
      </w:pPr>
      <w:r>
        <w:t xml:space="preserve">(wang2014catalyticmechanismsand pages 1-3): Zhihong Wang and Philip A. Cole. Catalytic mechanisms and regulation of protein kinases. Methods in Enzymology, pages 1-21, Jan 2014. URL: https://doi.org/10.1016/b978-0-12-397918-6.00001-x, doi:10.1016/b978-0-12-397918-6.00001-x. This article has 225 citations and is from a peer-reviewed journal.</w:t>
      </w:r>
    </w:p>
    <w:p>
      <w:pPr>
        <w:numPr>
          <w:ilvl w:val="0"/>
          <w:numId w:val="1003"/>
        </w:numPr>
      </w:pPr>
      <w:r>
        <w:t xml:space="preserve">(wang2014catalyticmechanismsand pages 3-4): Zhihong Wang and Philip A. Cole. Catalytic mechanisms and regulation of protein kinases. Methods in Enzymology, pages 1-21, Jan 2014. URL: https://doi.org/10.1016/b978-0-12-397918-6.00001-x, doi:10.1016/b978-0-12-397918-6.00001-x. This article has 225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2025-06-18T18:52:11Z</dcterms:created>
  <dcterms:modified xsi:type="dcterms:W3CDTF">2025-06-18T18:52:11Z</dcterms:modified>
</cp:coreProperties>
</file>

<file path=docProps/custom.xml><?xml version="1.0" encoding="utf-8"?>
<Properties xmlns="http://schemas.openxmlformats.org/officeDocument/2006/custom-properties" xmlns:vt="http://schemas.openxmlformats.org/officeDocument/2006/docPropsVTypes"/>
</file>