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gamma (PKCγ), encoded by the gene PRKCG, is a member of the conventional PKC subfamily within the larger AGC kinase family, which also includes kinases such as PKCα and PKCβ that share high sequence and functional homology. PKCγ is evolutionarily conserved among vertebrate species and is predominantly expressed in neuronal tissues, where its orthologs can be found in mammals ranging from rodents to primates (shirai2002proteinkinasecγ pages 1-1, newton2018proteinkinaseca pages 1-3). Conventional PKCs diverged from a common ancestral gene early in eukaryotic evolution, and phylogenetic analyses indicate that the regulatory and catalytic domains of PKCγ have been maintained with only minor variations compared to other cPKCs such as PKCα and PKCβ, underscoring their fundamental roles in cellular signaling (webb2000proteinkinasec pages 1-2, wuzhang2013proteinkinasec pages 1-2). The evolutionary conservation of the modular architecture—including the calcium- and diacylglycerol (DAG)-responsive regulatory modules—places PKCγ in a well‐defined lineage that extends back to the common ancestor of eukaryotes (newton2018proteinkinasec pages 1-6).</w:t>
      </w:r>
    </w:p>
    <w:p>
      <w:pPr>
        <w:numPr>
          <w:ilvl w:val="0"/>
          <w:numId w:val="1001"/>
        </w:numPr>
      </w:pPr>
      <w:r>
        <w:t xml:space="preserve">Reaction Catalyzed</w:t>
      </w:r>
      <w:r>
        <w:br/>
      </w:r>
      <w:r>
        <w:t xml:space="preserve">PKCγ catalyzes the phosphorylation of serine/threonine residues on target proteins by transferring the γ-phosphate group from adenosine triphosphate (ATP) to specific amino acid residues. The chemical reaction can be summarized as follows:</w:t>
      </w:r>
      <w:r>
        <w:br/>
      </w:r>
      <w:r>
        <w:t xml:space="preserve">  ATP + [protein]-(L-serine or L-threonine) → ADP + [protein]-(L-serine/threonine)-phosphate + H⁺ (akita2002proteinkinasecε pages 1-1).</w:t>
      </w:r>
      <w:r>
        <w:br/>
      </w:r>
      <w:r>
        <w:t xml:space="preserve">This phosphotransferase activity is central to its role as a signal transducer in neuronal cells, where phosphorylation modifies the activity, localization, or interaction affinities of downstream substrates.</w:t>
      </w:r>
    </w:p>
    <w:p>
      <w:pPr>
        <w:numPr>
          <w:ilvl w:val="0"/>
          <w:numId w:val="1001"/>
        </w:numPr>
      </w:pPr>
      <w:r>
        <w:t xml:space="preserve">Cofactor Requirements</w:t>
      </w:r>
      <w:r>
        <w:br/>
      </w:r>
      <w:r>
        <w:t xml:space="preserve">The activation and catalytic activity of PKCγ critically depend on a set of cofactors. As a conventional PKC isoform, PKCγ requires calcium ions (Ca²⁺) for activation, a feature that is conferred by its C2 domain, which binds Ca²⁺ and facilitates membrane association (shirai2002proteinkinasecγ pages 1-1, wuzhang2013proteinkinasec pages 1-2). In addition, diacylglycerol (DAG) is an essential lipid second messenger that binds the tandem C1 domains (C1A and C1B) within the regulatory region, resulting in a conformational change that relieves autoinhibition (akita2002proteinkinasecε pages 1-1, newton2018proteinkinaseca pages 1-3). Phosphatidylserine is also required as a cofactor, further promoting the interaction of the enzyme with cellular membranes. Furthermore, similar to other kinases, Mg²⁺ is typically involved as an essential cofactor to coordinate ATP binding in the catalytic site, although explicit discussion of Mg²⁺ for PKCγ is inferred from the wider kinome template (webb2000proteinkinasec pages 1-2).</w:t>
      </w:r>
    </w:p>
    <w:p>
      <w:pPr>
        <w:numPr>
          <w:ilvl w:val="0"/>
          <w:numId w:val="1001"/>
        </w:numPr>
      </w:pPr>
      <w:r>
        <w:t xml:space="preserve">Substrate Specificity</w:t>
      </w:r>
      <w:r>
        <w:br/>
      </w:r>
      <w:r>
        <w:t xml:space="preserve">PKCγ phosphorylates serine/threonine residues on a variety of substrates, with its substrate specificity governed by both its intrinsic catalytic domain and its subcellular localization mediated by protein–protein interactions. Although a unique consensus sequence strictly attributable to PKCγ has not been defined, the enzyme preferentially targets sequence contexts enriched in basic amino acids adjacent to the phosphorylated serine or threonine residues. This broad substrate recognition pattern is exemplified by its ability to modify neuronal receptors such as the ionotropic glutamate receptor GRIA4/GLUR4 and the N-methyl-D-aspartate receptor subunit GRIN1/NMDAR1, both of which are critical for synaptic function (akita2002proteinkinasecε pages 1-1, shirai2002proteinkinasecγ pages 2-3). In addition, substrates involved in synaptic plasticity and receptor function often contain sites where a cluster of basic residues is found upstream or downstream of the phosphoacceptor site, a feature common to substrates of conventional PKCs (amadio2006thedifferentfacets pages 1-2, nelson2009neuroprotectiveversustumorigenic pages 1-2). The overlap in substrate usage among PKC isozymes further underscores the importance of spatial localization and scaffold-mediated interactions in conferring substrate specificity.</w:t>
      </w:r>
    </w:p>
    <w:p>
      <w:pPr>
        <w:numPr>
          <w:ilvl w:val="0"/>
          <w:numId w:val="1001"/>
        </w:numPr>
      </w:pPr>
      <w:r>
        <w:t xml:space="preserve">Structure</w:t>
      </w:r>
      <w:r>
        <w:br/>
      </w:r>
      <w:r>
        <w:t xml:space="preserve">The three-dimensional architecture of PKCγ is characterized by a modular domain organization that is conserved among conventional PKCs. The N-terminal regulatory region contains an autoinhibitory pseudosubstrate domain that occupies the substrate-binding site within the catalytic domain under resting conditions, thereby maintaining the kinase in an inactive state. Adjacent to this pseudosubstrate region are tandem C1 domains (designated C1A and C1B) that bind DAG and phorbol esters; notably, the C1B domain in conventional PKCs like PKCγ exhibits particular nuances in binding affinity that distinguish it from novel PKC isoforms (akita2002proteinkinasecε pages 1-1, newton2018proteinkinaseca pages 3-4). The C2 domain, which is responsible for Ca²⁺ binding, contributes to targeting the enzyme to plasma membranes by interacting with anionic phospholipids such as phosphatidylserine (shirai2002proteinkinasecγ pages 1-1, newton2018proteinkinaseca pages 7-9). The C-terminal catalytic or kinase domain contains highly conserved motifs including the activation loop, turn motif, and hydrophobic motif, which are essential for catalytic activity. Specific phosphorylation sites have been identified within PKCγ’s catalytic domain: Thr-566 in the activation loop, Thr-710 in an autophosphorylation site, and Ser-729 in the C-terminal hydrophobic region, all necessary for full activation and stability (akita2002proteinkinasecε pages 1-1, newton2018proteinkinaseca pages 4-6). Additionally, PKCγ harbors a unique actin-binding motif (amino acids 223–228) that is implicated in interactions with the cytoskeleton, potentially contributing to its subcellular localization and function (akita2002proteinkinasecε pages 1-1). Overall, the structure of PKCγ exemplifies a finely tuned enzyme architecture that integrates ligand binding, autoinhibition, and catalytic activity within a dynamic framework.</w:t>
      </w:r>
    </w:p>
    <w:p>
      <w:pPr>
        <w:numPr>
          <w:ilvl w:val="0"/>
          <w:numId w:val="1001"/>
        </w:numPr>
      </w:pPr>
      <w:r>
        <w:t xml:space="preserve">Regulation</w:t>
      </w:r>
      <w:r>
        <w:br/>
      </w:r>
      <w:r>
        <w:t xml:space="preserve">The regulation of PKCγ involves a complex interplay of post-translational modifications, ligand binding, and subcellular localization dynamics. Under basal conditions, the pseudosubstrate domain maintains PKCγ in an inactive conformation; upon cell stimulation, binding of Ca²⁺ to the C2 domain and of DAG to the C1 domains triggers a conformational rearrangement that releases the pseudosubstrate from the catalytic cleft, thereby activating the kinase (shirai2002proteinkinasecγ pages 2-3, newton2018proteinkinasec pages 14-15). In parallel, PKCγ requires a series of phosphorylation events for maturation and stability. These include phosphorylation by 3-phosphoinositide-dependent kinase-1 (PDK1) at the activation loop, as well as subsequent autophosphorylation events at the turn and hydrophobic motifs; these modifications collectively prime the enzyme for rapid activation by second messengers (battaini2005proteinkinasec pages 3-6, newton2018proteinkinaseca pages 12-14). Regulatory interactions with scaffold proteins such as receptors for activated C kinase (RACKs) further refine its spatial distribution and substrate interactions, ensuring that activated PKCγ is localized to specific subcellular compartments such as the plasma membrane, Golgi apparatus, or cytoskeleton (akita2002proteinkinasecε pages 1-1, shirai2002proteinkinasecγ pages 2-3). Moreover, prolonged exposure to high levels of DAG mimetics like phorbol esters can lead to PKCγ downregulation through a process involving dephosphorylation by phosphatases, ubiquitination, and proteasomal degradation (mochlyrosen2012proteinkinasec pages 2-4). Additional layers of regulation include tyrosine phosphorylation by kinases of the Src family, which can modulate both activity and localization (steinberg2008structuralbasisof pages 37-39). Collectively, these regulatory mechanisms enable PKCγ to function as a highly responsive molecular switch in signal transduction pathways, with precise control over its activation state.</w:t>
      </w:r>
    </w:p>
    <w:p>
      <w:pPr>
        <w:numPr>
          <w:ilvl w:val="0"/>
          <w:numId w:val="1001"/>
        </w:numPr>
      </w:pPr>
      <w:r>
        <w:t xml:space="preserve">Function</w:t>
      </w:r>
      <w:r>
        <w:br/>
      </w:r>
      <w:r>
        <w:t xml:space="preserve">PKCγ plays diverse and critical roles in neuronal signal transduction and cellular homeostasis, with its expression restricted predominantly to the central nervous system and eye tissues. In neurons, PKCγ modulates synaptic function by phosphorylating key receptors, such as the ionotropic glutamate receptor GRIA4/GLUR4 and the N-methyl-D-aspartate receptor subunit GRIN1/NMDAR1; phosphorylation of these receptors influences their trafficking and plasma membrane expression, thereby regulating synaptic strength and plasticity (akita2002proteinkinasecε pages 1-1, shirai2002proteinkinasecγ pages 2-3). PKCγ is also involved in the modulation of receptor systems that mediate sensitivity to opiates, pain, and alcohol, suggesting a role in the neurobiological adaptations underlying substance response (amadio2006thedifferentfacets pages 1-2). Additionally, the kinase participates in mediating synaptic function and cell survival following ischemic insults by phosphorylating substrates that promote neuroprotection and by regulating the formation and dismantling of gap junctions after oxidative stress (nelson2009neuroprotectiveversustumorigenic pages 1-2, battaini2005proteinkinasec pages 3-6). Experimental studies indicate that alterations in PKCγ activity can significantly impact hippocampal long-term potentiation (LTP), an essential cellular correlate of learning and memory; indeed, modulating PKCγ activity has been shown to affect spatial and contextual learning in animal models (shirai2002proteinkinasecγ pages 1-1, newton2018proteinkinasec pages 14-17). Through these multifaceted roles, PKCγ integrates signals from extracellular stimuli to elicit precise cellular responses that are vital for maintaining neuronal plasticity, synaptic integrity, and cellular survival.</w:t>
      </w:r>
    </w:p>
    <w:p>
      <w:pPr>
        <w:numPr>
          <w:ilvl w:val="0"/>
          <w:numId w:val="1001"/>
        </w:numPr>
      </w:pPr>
      <w:r>
        <w:t xml:space="preserve">Other Comments</w:t>
      </w:r>
      <w:r>
        <w:br/>
      </w:r>
      <w:r>
        <w:t xml:space="preserve">Although specific inhibitors exclusively targeting PKCγ are not widely available due to the overlapping catalytic domain features shared with other PKC isoforms, experimental approaches have utilized broad-spectrum PKC activators and inhibitors—such as phorbol esters (e.g., PMA) and bryostatin derivatives—to modulate its activity in both in vitro and in vivo models (mochlyrosen2012proteinkinasec pages 1-2, duquesnes2011pkcdeltaandpkcepsilon pages 9-9). Inhibitor development efforts continue to focus on compounds that interfere with regulatory domain interactions or the DAG-binding sites, although achieving isozyme-specificity remains challenging (wuzhang2013proteinkinasec pages 15-15, battaini2005proteinkinasec pages 16-16). Clinically, mutations in PKCγ have been implicated in neurodegenerative disorders such as spinocerebellar ataxia type 14 (SCA14), wherein gain-of-function mutations—often localized to the C1B domain—result in aberrant kinase activation and disrupted neuronal signaling (newton2018proteinkinaseca pages 15-17, newton2018proteinkinasec pages 32-35). In addition, alterations in PKCγ signaling have been associated with deregulated synaptic plasticity and excitotoxicity, contributing to pathological conditions such as Alzheimer’s disease and other forms of neurodegeneration (nelson2009neuroprotectiveversustumorigenic pages 1-2). Beyond its roles in the nervous system, PKCγ’s involvement in modulating receptor function in eye tissues suggests potential implications in retinal signaling and associated pathologies. Ongoing research aims to further dissect PKCγ’s isoform-specific functions, refine pharmacological agents that can modulate its activity without affecting related isoforms, and elucidate additional disease mechanisms linked to its dysregulation.</w:t>
      </w:r>
    </w:p>
    <w:p>
      <w:pPr>
        <w:pStyle w:val="FirstParagraph"/>
      </w:pPr>
      <w:r>
        <w:t xml:space="preserve">References</w:t>
      </w:r>
    </w:p>
    <w:p>
      <w:pPr>
        <w:numPr>
          <w:ilvl w:val="0"/>
          <w:numId w:val="1002"/>
        </w:numPr>
      </w:pPr>
      <w:r>
        <w:t xml:space="preserve">(akita2002proteinkinasecε pages 1-1): Y Akita. Protein kinase c-ε (pkc-ε): its unique structure and function. Journal of Biochemistry, 132:847-852, Dec 2002. URL: https://doi.org/10.1093/oxfordjournals.jbchem.a003296, doi:10.1093/oxfordjournals.jbchem.a003296. This article has 212 citations and is from a peer-reviewed journal.</w:t>
      </w:r>
    </w:p>
    <w:p>
      <w:pPr>
        <w:numPr>
          <w:ilvl w:val="0"/>
          <w:numId w:val="1002"/>
        </w:numPr>
      </w:pPr>
      <w:r>
        <w:t xml:space="preserve">(shirai2002proteinkinasecγ pages 1-1): Y Shirai N Saito. Protein kinase cγ (pkcγ): function of neuron specific isotype. Journal of Biochemistry, 132:683-687, Nov 2002. URL: https://doi.org/10.1093/oxfordjournals.jbchem.a003274, doi:10.1093/oxfordjournals.jbchem.a003274. This article has 290 citations and is from a peer-reviewed journal.</w:t>
      </w:r>
    </w:p>
    <w:p>
      <w:pPr>
        <w:numPr>
          <w:ilvl w:val="0"/>
          <w:numId w:val="1002"/>
        </w:numPr>
      </w:pPr>
      <w:r>
        <w:t xml:space="preserve">(shirai2002proteinkinasecγ pages 2-3): Y Shirai N Saito. Protein kinase cγ (pkcγ): function of neuron specific isotype. Journal of Biochemistry, 132:683-687, Nov 2002. URL: https://doi.org/10.1093/oxfordjournals.jbchem.a003274, doi:10.1093/oxfordjournals.jbchem.a003274. This article has 290 citations and is from a peer-reviewed journal.</w:t>
      </w:r>
    </w:p>
    <w:p>
      <w:pPr>
        <w:numPr>
          <w:ilvl w:val="0"/>
          <w:numId w:val="1002"/>
        </w:numPr>
      </w:pPr>
      <w:r>
        <w:t xml:space="preserve">(amadio2006thedifferentfacets pages 1-2): Marialaura Amadio, Fiorenzo Battaini, and Alessia Pascale. The different facets of protein kinases c: old and new players in neuronal signal transduction pathways. Pharmacological Research, 54:317-325, Nov 2006. URL: https://doi.org/10.1016/j.phrs.2006.08.002, doi:10.1016/j.phrs.2006.08.002. This article has 88 citations and is from a highest quality peer-reviewed journal.</w:t>
      </w:r>
    </w:p>
    <w:p>
      <w:pPr>
        <w:numPr>
          <w:ilvl w:val="0"/>
          <w:numId w:val="1002"/>
        </w:numPr>
      </w:pPr>
      <w:r>
        <w:t xml:space="preserve">(battaini2005proteinkinasec pages 3-6): FIORENZO BATTAINI and ALESSIA PASCALE. Protein kinase c signal transduction regulation in physiological and pathological aging. Annals of the New York Academy of Sciences, 1057:177-192, Dec 2005. URL: https://doi.org/10.1196/annals.1356.011, doi:10.1196/annals.1356.011. This article has 104 citations and is from a peer-reviewed journal.</w:t>
      </w:r>
    </w:p>
    <w:p>
      <w:pPr>
        <w:numPr>
          <w:ilvl w:val="0"/>
          <w:numId w:val="1002"/>
        </w:numPr>
      </w:pPr>
      <w:r>
        <w:t xml:space="preserve">(mochlyrosen2012proteinkinasec pages 1-2): Daria Mochly-Rosen, Kanad Das, and Kevin V. Grimes. Protein kinase c, an elusive therapeutic target? Nature Reviews Drug Discovery, 11:937-957, Nov 2012. URL: https://doi.org/10.1038/nrd3871, doi:10.1038/nrd3871. This article has 703 citations and is from a highest quality peer-reviewed journal.</w:t>
      </w:r>
    </w:p>
    <w:p>
      <w:pPr>
        <w:numPr>
          <w:ilvl w:val="0"/>
          <w:numId w:val="1002"/>
        </w:numPr>
      </w:pPr>
      <w:r>
        <w:t xml:space="preserve">(mochlyrosen2012proteinkinasec pages 2-4): Daria Mochly-Rosen, Kanad Das, and Kevin V. Grimes. Protein kinase c, an elusive therapeutic target? Nature Reviews Drug Discovery, 11:937-957, Nov 2012. URL: https://doi.org/10.1038/nrd3871, doi:10.1038/nrd3871. This article has 703 citations and is from a highest quality peer-reviewed journal.</w:t>
      </w:r>
    </w:p>
    <w:p>
      <w:pPr>
        <w:numPr>
          <w:ilvl w:val="0"/>
          <w:numId w:val="1002"/>
        </w:numPr>
      </w:pPr>
      <w:r>
        <w:t xml:space="preserve">(nelson2009neuroprotectiveversustumorigenic pages 1-2): T.J. Nelson and D.L. Alkon. Neuroprotective versus tumorigenic protein kinase c activators. Trends in Biochemical Sciences, 34:136-145, Mar 2009. URL: https://doi.org/10.1016/j.tibs.2008.11.006, doi:10.1016/j.tibs.2008.11.006. This article has 114 citations and is from a domain leading peer-reviewed journal.</w:t>
      </w:r>
    </w:p>
    <w:p>
      <w:pPr>
        <w:numPr>
          <w:ilvl w:val="0"/>
          <w:numId w:val="1002"/>
        </w:numPr>
      </w:pPr>
      <w:r>
        <w:t xml:space="preserve">(newton2018proteinkinasec pages 1-6): Alexandra C. Newton. Protein kinase c as a tumor suppressor. Seminars in Cancer Biology, 48:18-26, Feb 2018. URL: https://doi.org/10.1016/j.semcancer.2017.04.017, doi:10.1016/j.semcancer.2017.04.017. This article has 109 citations and is from a peer-reviewed journal.</w:t>
      </w:r>
    </w:p>
    <w:p>
      <w:pPr>
        <w:numPr>
          <w:ilvl w:val="0"/>
          <w:numId w:val="1002"/>
        </w:numPr>
      </w:pPr>
      <w:r>
        <w:t xml:space="preserve">(newton2018proteinkinasec pages 14-17): Alexandra C. Newton. Protein kinase c as a tumor suppressor. Seminars in Cancer Biology, 48:18-26, Feb 2018. URL: https://doi.org/10.1016/j.semcancer.2017.04.017, doi:10.1016/j.semcancer.2017.04.017. This article has 109 citations and is from a peer-reviewed journal.</w:t>
      </w:r>
    </w:p>
    <w:p>
      <w:pPr>
        <w:numPr>
          <w:ilvl w:val="0"/>
          <w:numId w:val="1002"/>
        </w:numPr>
      </w:pPr>
      <w:r>
        <w:t xml:space="preserve">(newton2018proteinkinasec pages 32-35): Alexandra C. Newton. Protein kinase c as a tumor suppressor. Seminars in Cancer Biology, 48:18-26, Feb 2018. URL: https://doi.org/10.1016/j.semcancer.2017.04.017, doi:10.1016/j.semcancer.2017.04.017. This article has 109 citations and is from a peer-reviewed journal.</w:t>
      </w:r>
    </w:p>
    <w:p>
      <w:pPr>
        <w:numPr>
          <w:ilvl w:val="0"/>
          <w:numId w:val="1002"/>
        </w:numPr>
      </w:pPr>
      <w:r>
        <w:t xml:space="preserve">(newton2018proteinkinaseca pages 1-3):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12-14):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15-17):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3-4):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(newton2018proteinkinaseca pages 7-9):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(steinberg2008structuralbasisof pages 37-39):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(webb2000proteinkinasec pages 1-2):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2"/>
        </w:numPr>
      </w:pPr>
      <w:r>
        <w:t xml:space="preserve">(wuzhang2013proteinkinasec pages 1-2): Alyssa X. Wu-zhang and Alexandra C. Newton. Protein kinase c pharmacology: refining the toolbox. Biochemical Journal, 452:195-209, May 2013. URL: https://doi.org/10.1042/bj20130220, doi:10.1042/bj20130220. This article has 252 citations and is from a domain leading peer-reviewed journal.</w:t>
      </w:r>
    </w:p>
    <w:p>
      <w:pPr>
        <w:numPr>
          <w:ilvl w:val="0"/>
          <w:numId w:val="1002"/>
        </w:numPr>
      </w:pPr>
      <w:r>
        <w:t xml:space="preserve">(battaini2005proteinkinasec pages 16-16): FIORENZO BATTAINI and ALESSIA PASCALE. Protein kinase c signal transduction regulation in physiological and pathological aging. Annals of the New York Academy of Sciences, 1057:177-192, Dec 2005. URL: https://doi.org/10.1196/annals.1356.011, doi:10.1196/annals.1356.011. This article has 104 citations and is from a peer-reviewed journal.</w:t>
      </w:r>
    </w:p>
    <w:p>
      <w:pPr>
        <w:numPr>
          <w:ilvl w:val="0"/>
          <w:numId w:val="1002"/>
        </w:numPr>
      </w:pPr>
      <w:r>
        <w:t xml:space="preserve">(newton2018proteinkinaseca pages 4-6):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(wuzhang2013proteinkinasec pages 15-15): Alyssa X. Wu-zhang and Alexandra C. Newton. Protein kinase c pharmacology: refining the toolbox. Biochemical Journal, 452:195-209, May 2013. URL: https://doi.org/10.1042/bj20130220, doi:10.1042/bj20130220. This article has 252 citations and is from a domain leading peer-reviewed journal.</w:t>
      </w:r>
    </w:p>
    <w:p>
      <w:pPr>
        <w:numPr>
          <w:ilvl w:val="0"/>
          <w:numId w:val="1002"/>
        </w:numPr>
      </w:pPr>
      <w:r>
        <w:t xml:space="preserve">(duquesnes2011pkcdeltaandpkcepsilon pages 9-9): Nicolas Duquesnes, Frank Lezoualc’h, and Bertrand Crozatier. Pkc-delta and pkc-epsilon: foes of the same family or strangers? Journal of Molecular and Cellular Cardiology, 51:665-673, Nov 2011. URL: https://doi.org/10.1016/j.yjmcc.2011.07.013, doi:10.1016/j.yjmcc.2011.07.013. This article has 130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