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Serine/threonine‐protein kinase SBK1, also known by its alternative name SH3 domain‐binding kinase 1, is a member of the human serine/threonine kinome. Although a detailed phylogenetic analysis specific to SBK1 is not provided in the literature excerpts, its classification as a serine/threonine kinase implies that it is grouped within the broad family of protein kinases that phosphorylate serine and threonine residues. Its alternative name indicates an evolutionary relationship with other kinases that either contain or interact with SH3 domains, which are well known for their role in mediating protein–protein interactions in signal transduction pathways. Such kinases are typically part of conserved signaling modules that have evolved to regulate cellular processes ranging from metabolism to development. The contextual evidence suggests that SBK1 is evolutionarily linked to kinases involved in signal‐transduction circuits that are frequently organized around modular domains such as the SH3 domain; these relationships have been highlighted in systematic compilations of human SH3 domains and similar kinases (OpenTargets Search: -SBK1, mehrabipour2023asystematiccompilation pages 17-18, shah2018thesrcmodule pages 25-27).</w:t>
      </w:r>
    </w:p>
    <w:p>
      <w:pPr>
        <w:numPr>
          <w:ilvl w:val="0"/>
          <w:numId w:val="1001"/>
        </w:numPr>
      </w:pPr>
      <w:r>
        <w:t xml:space="preserve">Reaction Catalyzed</w:t>
      </w:r>
      <w:r>
        <w:br/>
      </w:r>
      <w:r>
        <w:t xml:space="preserve">SBK1 catalyzes the transfer of a phosphate group from ATP to the hydroxyl group of serine and threonine residues on its protein substrates. In biochemical terms, this reaction can be written as: ATP + [protein]-(L-serine or L-threonine) → ADP + [protein]-(L-serine/threonine)-phosphate + H⁺. This phosphotransfer reaction is a hallmark of serine/threonine kinases and is fundamental to the regulation of diverse cellular processes, including signal transduction pathways involved in brain development (johnson2023anatlasof pages 1-2).</w:t>
      </w:r>
    </w:p>
    <w:p>
      <w:pPr>
        <w:numPr>
          <w:ilvl w:val="0"/>
          <w:numId w:val="1001"/>
        </w:numPr>
      </w:pPr>
      <w:r>
        <w:t xml:space="preserve">Cofactor Requirements</w:t>
      </w:r>
      <w:r>
        <w:br/>
      </w:r>
      <w:r>
        <w:t xml:space="preserve">The catalytic activity of SBK1, like that of many protein kinases, depends on the presence of divalent metal ions. Mg²⁺ is typically required as a cofactor; it coordinates with ATP to facilitate the phosphotransfer reaction by stabilizing the negative charges on the phosphate groups. This cofactor requirement is consistent with the mechanistic properties observed for other serine/threonine kinases described in high-throughput kinase studies (johnson2023anatlasof pages 1-2, OpenTargets Search: -SBK1).</w:t>
      </w:r>
    </w:p>
    <w:p>
      <w:pPr>
        <w:numPr>
          <w:ilvl w:val="0"/>
          <w:numId w:val="1001"/>
        </w:numPr>
      </w:pPr>
      <w:r>
        <w:t xml:space="preserve">Substrate Specificity</w:t>
      </w:r>
      <w:r>
        <w:br/>
      </w:r>
      <w:r>
        <w:t xml:space="preserve">High-throughput profiling of the human serine/threonine kinome has revealed that substrate specificity among these kinases is defined by distinct amino acid motifs surrounding the phosphorylatable residues. Although no unique consensus substrate motif has been exclusively reported for SBK1, it appears in global kinase assays where substrate preferences include basophilic, proline-directed, and acidophilic motifs. In particular, the kinase atlas generated by Johnson et al. identified catalytic activities of many kinases by scoring phosphorylation of peptides that display common serine/threonine motifs. SBK1’s inclusion among these kinases suggests that its substrate specificity aligns with the overall pattern observed for serine/threonine kinases, even though the literature does not yet detail unique substrate determinants for this enzyme (johnson2023anatlasof pages 4-4, johnson2023anatlasof pages 1-2).</w:t>
      </w:r>
    </w:p>
    <w:p>
      <w:pPr>
        <w:numPr>
          <w:ilvl w:val="0"/>
          <w:numId w:val="1001"/>
        </w:numPr>
      </w:pPr>
      <w:r>
        <w:t xml:space="preserve">Structure</w:t>
      </w:r>
      <w:r>
        <w:br/>
      </w:r>
      <w:r>
        <w:t xml:space="preserve">Although no full-length experimental structure is available for SBK1 in the published literature, its classification as a serine/threonine kinase implies that it possesses the canonical bilobal structure characteristic of protein kinases. This structure typically includes an N-terminal lobe, consisting mainly of β-sheets, and a C-terminal lobe, dominated by α-helices, with a deep cleft that binds ATP and substrates. Conserved catalytic motifs, such as the DFG motif in the activation loop and a C-helix that participates in the formation of the hydrophobic spines, are expected to be present as they are in other members of this kinase superfamily. The alternative name “SH3 domain-binding kinase 1” further implies that regions of the protein—either flanking the catalytic domain or embedded within additional regulatory segments—are responsible for binding to SH3 domains or SH3-containing proteins. Structural insights into SH3 domain interactions from systematic compilations have demonstrated that such domains frequently mediate substrate docking and regulatory functions; by analogy, SBK1 might display similar architectural elements that enable dynamic protein–protein interactions during signal-transduction events (mehrabipour2023asystematiccompilation pages 11-13, mehrabipour2023asystematiccompilation pages 17-18, kurochkina2013sh3domainsmodules pages 6-7).</w:t>
      </w:r>
    </w:p>
    <w:p>
      <w:pPr>
        <w:numPr>
          <w:ilvl w:val="0"/>
          <w:numId w:val="1001"/>
        </w:numPr>
      </w:pPr>
      <w:r>
        <w:t xml:space="preserve">Regulation</w:t>
      </w:r>
      <w:r>
        <w:br/>
      </w:r>
      <w:r>
        <w:t xml:space="preserve">The regulatory mechanisms controlling SBK1 activity remain incompletely characterized in the current literature. However, by virtue of its grouping with SH3 domain-interacting kinases and its inclusion among serine/threonine kinases, SBK1 is likely regulated through post-translational modifications such as phosphorylation. In many similar kinases, autophosphorylation of activation loop residues and phosphorylation by upstream kinases are key events that modulate catalytic activity. Moreover, intramolecular interactions mediated by SH3 domain-binding motifs can affect the conformation and enzymatic activity of a kinase, serving as an allosteric switch in response to external signals. Although specific modification sites on SBK1 have not been reported, the regulatory paradigms observed in related kinases—such as those described in studies of the Src module and SH3 domain-containing kinases—indicate that SBK1 activity is most likely modulated by both phosphorylation events and specific protein–protein interactions that determine its active or inactive conformations (shah2018thesrcmodule pages 25-27, mehrabipour2023asystematiccompilation pages 16-17, shah2018thesrcmodule pages 15-17).</w:t>
      </w:r>
    </w:p>
    <w:p>
      <w:pPr>
        <w:numPr>
          <w:ilvl w:val="0"/>
          <w:numId w:val="1001"/>
        </w:numPr>
      </w:pPr>
      <w:r>
        <w:t xml:space="preserve">Function</w:t>
      </w:r>
      <w:r>
        <w:br/>
      </w:r>
      <w:r>
        <w:t xml:space="preserve">SBK1 has been implicated in signal-transduction pathways with possible roles in the control of brain development. In addition, genetic association data from the Open Targets Platform indicate that variants in SBK1 are linked to the disease trait ‘fat body mass’, suggesting that SBK1 may have functions that extend to the regulation of metabolism. The protein’s designation as SH3 domain-binding kinase 1 further implies that it participates in intracellular signaling circuits by interacting with SH3 domain-containing proteins, a feature common to kinases involved in diverse regulatory processes such as cellular differentiation and cytoskeletal dynamics. Although detailed characterization of its tissue and cell-specific expression patterns, along with its precise upstream and downstream molecular interactions, has not yet been published, the available evidence supports a role for SBK1 in modulating signal transduction events that are pertinent to brain development as well as metabolic regulation (OpenTargets Search: -SBK1, mehrabipour2023asystematiccompilation pages 17-18, johnson2023anatlasof pages 4-4).</w:t>
      </w:r>
    </w:p>
    <w:p>
      <w:pPr>
        <w:numPr>
          <w:ilvl w:val="0"/>
          <w:numId w:val="1001"/>
        </w:numPr>
      </w:pPr>
      <w:r>
        <w:t xml:space="preserve">Other Comments</w:t>
      </w:r>
      <w:r>
        <w:br/>
      </w:r>
      <w:r>
        <w:t xml:space="preserve">At present, specific inhibitors targeting SBK1 have not been reported in the literature. The association of SBK1 with phenotypes such as fat body mass and its potential involvement in brain development highlight its relevance as a candidate target for further drug discovery efforts. No detailed information is available regarding disease-associated mutations or post-translational modification sites uniquely linked to SBK1. Given that SBK1 remains underexplored across multiple dimensions including its substrate specificity, regulatory elements, and structural organization, future studies employing systematic kinase profiling and structure-guided analysis will be essential to clarify its functional roles and to enable the development of specific pharmacological modulators (OpenTargets Search: -SBK1, mehrabipour2023asystematiccompilation pages 17-18).</w:t>
      </w:r>
    </w:p>
    <w:p>
      <w:pPr>
        <w:numPr>
          <w:ilvl w:val="0"/>
          <w:numId w:val="1001"/>
        </w:numPr>
      </w:pPr>
      <w:r>
        <w:t xml:space="preserve">References</w:t>
      </w:r>
      <w:r>
        <w:br/>
      </w:r>
    </w:p>
    <w:p>
      <w:pPr>
        <w:numPr>
          <w:ilvl w:val="0"/>
          <w:numId w:val="1001"/>
        </w:numPr>
      </w:pPr>
      <w:r>
        <w:t xml:space="preserve">OpenTargets Search: -SBK1. Buniello, A., et al. (2025). Open Targets Platform: facilitating therapeutic hypotheses building in drug discovery. Nucleic Acids Research.</w:t>
      </w:r>
      <w:r>
        <w:br/>
      </w:r>
    </w:p>
    <w:p>
      <w:pPr>
        <w:numPr>
          <w:ilvl w:val="0"/>
          <w:numId w:val="1001"/>
        </w:numPr>
      </w:pPr>
      <w:r>
        <w:t xml:space="preserve">Mehrabipour, M., Kazemein Jasemi, N. S., Dvorsky, R., &amp; Ahmadian, M. R. (2023). A systematic compilation of human sh3 domains: a versatile superfamily in cellular signaling. Cells, 12:2054. https://doi.org/10.3390/cells12162054</w:t>
      </w:r>
      <w:r>
        <w:br/>
      </w:r>
    </w:p>
    <w:p>
      <w:pPr>
        <w:numPr>
          <w:ilvl w:val="0"/>
          <w:numId w:val="1001"/>
        </w:numPr>
      </w:pPr>
      <w:r>
        <w:t xml:space="preserve">Johnson, J. L., Yaron, T. M., Huntsman, E. M., Kerelsky, A., Song, J., Regev, A., … &amp; Cantley, L. C. (2023). An atlas of substrate specificities for the human serine/threonine kinome. Nature, 613:759-766. https://doi.org/10.1038/s41586-022-05575-3</w:t>
      </w:r>
      <w:r>
        <w:br/>
      </w:r>
    </w:p>
    <w:p>
      <w:pPr>
        <w:numPr>
          <w:ilvl w:val="0"/>
          <w:numId w:val="1001"/>
        </w:numPr>
      </w:pPr>
      <w:r>
        <w:t xml:space="preserve">Shah, N. H., Amacher, J. F., Nocka, L. M., &amp; Kuriyan, J. (2018). The src module: an ancient scaffold in the evolution of cytoplasmic tyrosine kinases. Critical Reviews in Biochemistry and Molecular Biology, 53:535-563. https://doi.org/10.1080/10409238.2018.1495173</w:t>
      </w:r>
      <w:r>
        <w:br/>
      </w:r>
    </w:p>
    <w:p>
      <w:pPr>
        <w:numPr>
          <w:ilvl w:val="0"/>
          <w:numId w:val="1001"/>
        </w:numPr>
      </w:pPr>
      <w:r>
        <w:t xml:space="preserve">Ingley, E. (2008). Src family kinases: regulation of their activities, levels and identification of new pathways. Biochimica et Biophysica Acta (BBA) - Proteins and Proteomics, 1784:56-65. https://doi.org/10.1016/j.bbapap.2007.08.012</w:t>
      </w:r>
      <w:r>
        <w:br/>
      </w:r>
    </w:p>
    <w:p>
      <w:pPr>
        <w:numPr>
          <w:ilvl w:val="0"/>
          <w:numId w:val="1001"/>
        </w:numPr>
      </w:pPr>
      <w:r>
        <w:t xml:space="preserve">Kurochkina, N., &amp; Guha, U. (2013). Sh3 domains: modules of protein–protein interactions. Biophysical Reviews, 5:29-39. https://doi.org/10.1007/s12551-012-0081-z</w:t>
      </w:r>
      <w:r>
        <w:br/>
      </w:r>
    </w:p>
    <w:p>
      <w:pPr>
        <w:numPr>
          <w:ilvl w:val="0"/>
          <w:numId w:val="1001"/>
        </w:numPr>
      </w:pPr>
      <w:r>
        <w:t xml:space="preserve">Gmeiner, W. H., &amp; Horita, D. A. (2007). Implications of sh3 domain structure and dynamics for protein regulation and drug design. Cell Biochemistry and Biophysics, 35:127-140. https://doi.org/10.1385/cbb:35:2:127</w:t>
      </w:r>
      <w:r>
        <w:br/>
      </w:r>
    </w:p>
    <w:p>
      <w:pPr>
        <w:numPr>
          <w:ilvl w:val="0"/>
          <w:numId w:val="1001"/>
        </w:numPr>
      </w:pPr>
      <w:r>
        <w:t xml:space="preserve">Berndt, S., Gurevich, V. V., &amp; Iverson, T. M. (2019). Crystal structure of the sh3 domain of human lyn non-receptor tyrosine kinase. PLOS ONE, 14:e0215140. https://doi.org/10.1371/journal.pone.0215140</w:t>
      </w:r>
      <w:r>
        <w:br/>
      </w:r>
    </w:p>
    <w:p>
      <w:pPr>
        <w:numPr>
          <w:ilvl w:val="0"/>
          <w:numId w:val="1001"/>
        </w:numPr>
      </w:pPr>
      <w:r>
        <w:t xml:space="preserve">Engen, J. R., Wales, T. E., Hochrein, J. M., et al. (2008). Structure and dynamic regulation of src-family kinases. Cellular and Molecular Life Sciences, 65:3058-3073. https://doi.org/10.1007/s00018-008-8122-2</w:t>
      </w:r>
    </w:p>
    <w:p>
      <w:pPr>
        <w:pStyle w:val="FirstParagraph"/>
      </w:pPr>
      <w:r>
        <w:t xml:space="preserve">References</w:t>
      </w:r>
    </w:p>
    <w:p>
      <w:pPr>
        <w:numPr>
          <w:ilvl w:val="0"/>
          <w:numId w:val="1002"/>
        </w:numPr>
      </w:pPr>
      <w:r>
        <w:t xml:space="preserve">(OpenTargets Search: -SBK1): Open Targets Query (-SBK1, 1 results). Buniello, A. et al. (2025). Open Targets Platform: facilitating therapeutic hypotheses building in drug discovery. Nucleic Acids Research.</w:t>
      </w:r>
    </w:p>
    <w:p>
      <w:pPr>
        <w:numPr>
          <w:ilvl w:val="0"/>
          <w:numId w:val="1002"/>
        </w:numPr>
      </w:pPr>
      <w:r>
        <w:t xml:space="preserve">(johnson2023anatlasof pages 1-2): Jared L. Johnson, Tomer M. Yaron, Emily M. Huntsman, Alexander Kerelsky, Junho Song, Amit Regev, Ting-Yu Lin, Katarina Liberatore, Daniel M. Cizin, Benjamin M. Cohen, Neil Vasan, Yilun Ma, Konstantin Krismer, Jaylissa Torres Robles, Bert van de Kooij, Anne E. van Vlimmeren, Nicole Andrée-Busch, Norbert F. Käufer, Maxim V. Dorovkov, Alexey G. Ryazanov, Yuichiro Takagi, Edward R. Kastenhuber, Marcus D. Goncalves, Benjamin D. Hopkins, Olivier Elemento, Dylan J. Taatjes, Alexandre Maucuer, Akio Yamashita, Alexei Degterev, Mohamed Uduman, Jingyi Lu, Sean D. Landry, Bin Zhang, Ian Cossentino, Rune Linding, John Blenis, Peter V. Hornbeck, Benjamin E. Turk, Michael B. Yaffe, and Lewis C. Cantley. An atlas of substrate specificities for the human serine/threonine kinome. Nature, 613:759-766, Jan 2023. URL: https://doi.org/10.1038/s41586-022-05575-3, doi:10.1038/s41586-022-05575-3. This article has 436 citations and is from a highest quality peer-reviewed journal.</w:t>
      </w:r>
    </w:p>
    <w:p>
      <w:pPr>
        <w:numPr>
          <w:ilvl w:val="0"/>
          <w:numId w:val="1002"/>
        </w:numPr>
      </w:pPr>
      <w:r>
        <w:t xml:space="preserve">(johnson2023anatlasof pages 4-4): Jared L. Johnson, Tomer M. Yaron, Emily M. Huntsman, Alexander Kerelsky, Junho Song, Amit Regev, Ting-Yu Lin, Katarina Liberatore, Daniel M. Cizin, Benjamin M. Cohen, Neil Vasan, Yilun Ma, Konstantin Krismer, Jaylissa Torres Robles, Bert van de Kooij, Anne E. van Vlimmeren, Nicole Andrée-Busch, Norbert F. Käufer, Maxim V. Dorovkov, Alexey G. Ryazanov, Yuichiro Takagi, Edward R. Kastenhuber, Marcus D. Goncalves, Benjamin D. Hopkins, Olivier Elemento, Dylan J. Taatjes, Alexandre Maucuer, Akio Yamashita, Alexei Degterev, Mohamed Uduman, Jingyi Lu, Sean D. Landry, Bin Zhang, Ian Cossentino, Rune Linding, John Blenis, Peter V. Hornbeck, Benjamin E. Turk, Michael B. Yaffe, and Lewis C. Cantley. An atlas of substrate specificities for the human serine/threonine kinome. Nature, 613:759-766, Jan 2023. URL: https://doi.org/10.1038/s41586-022-05575-3, doi:10.1038/s41586-022-05575-3. This article has 436 citations and is from a highest quality peer-reviewed journal.</w:t>
      </w:r>
    </w:p>
    <w:p>
      <w:pPr>
        <w:numPr>
          <w:ilvl w:val="0"/>
          <w:numId w:val="1002"/>
        </w:numPr>
      </w:pPr>
      <w:r>
        <w:t xml:space="preserve">(mehrabipour2023asystematiccompilation pages 17-18): Mehrnaz Mehrabipour, Neda S. Kazemein Jasemi, Radovan Dvorsky, and Mohammad R. Ahmadian. A systematic compilation of human sh3 domains: a versatile superfamily in cellular signaling. Cells, 12:2054, Aug 2023. URL: https://doi.org/10.3390/cells12162054, doi:10.3390/cells12162054. This article has 25 citations and is from a peer-reviewed journal.</w:t>
      </w:r>
    </w:p>
    <w:p>
      <w:pPr>
        <w:numPr>
          <w:ilvl w:val="0"/>
          <w:numId w:val="1002"/>
        </w:numPr>
      </w:pPr>
      <w:r>
        <w:t xml:space="preserve">(shah2018thesrcmodule pages 25-27): Neel H. Shah, Jeanine F. Amacher, Laura M. Nocka, and John Kuriyan. The src module: an ancient scaffold in the evolution of cytoplasmic tyrosine kinases. Critical Reviews in Biochemistry and Molecular Biology, 53:535-563, Sep 2018. URL: https://doi.org/10.1080/10409238.2018.1495173, doi:10.1080/10409238.2018.1495173. This article has 93 citations and is from a peer-reviewed journal.</w:t>
      </w:r>
    </w:p>
    <w:p>
      <w:pPr>
        <w:numPr>
          <w:ilvl w:val="0"/>
          <w:numId w:val="1002"/>
        </w:numPr>
      </w:pPr>
      <w:r>
        <w:t xml:space="preserve">(kurochkina2013sh3domainsmodules pages 6-7): Natalya Kurochkina and Udayan Guha. Sh3 domains: modules of protein–protein interactions. Biophysical Reviews, 5:29-39, Jun 2013. URL: https://doi.org/10.1007/s12551-012-0081-z, doi:10.1007/s12551-012-0081-z. This article has 250 citations and is from a peer-reviewed journal.</w:t>
      </w:r>
    </w:p>
    <w:p>
      <w:pPr>
        <w:numPr>
          <w:ilvl w:val="0"/>
          <w:numId w:val="1002"/>
        </w:numPr>
      </w:pPr>
      <w:r>
        <w:t xml:space="preserve">(mehrabipour2023asystematiccompilation pages 11-13): Mehrnaz Mehrabipour, Neda S. Kazemein Jasemi, Radovan Dvorsky, and Mohammad R. Ahmadian. A systematic compilation of human sh3 domains: a versatile superfamily in cellular signaling. Cells, 12:2054, Aug 2023. URL: https://doi.org/10.3390/cells12162054, doi:10.3390/cells12162054. This article has 25 citations and is from a peer-reviewed journal.</w:t>
      </w:r>
    </w:p>
    <w:p>
      <w:pPr>
        <w:numPr>
          <w:ilvl w:val="0"/>
          <w:numId w:val="1002"/>
        </w:numPr>
      </w:pPr>
      <w:r>
        <w:t xml:space="preserve">(mehrabipour2023asystematiccompilation pages 16-17): Mehrnaz Mehrabipour, Neda S. Kazemein Jasemi, Radovan Dvorsky, and Mohammad R. Ahmadian. A systematic compilation of human sh3 domains: a versatile superfamily in cellular signaling. Cells, 12:2054, Aug 2023. URL: https://doi.org/10.3390/cells12162054, doi:10.3390/cells12162054. This article has 25 citations and is from a peer-reviewed journal.</w:t>
      </w:r>
    </w:p>
    <w:p>
      <w:pPr>
        <w:numPr>
          <w:ilvl w:val="0"/>
          <w:numId w:val="1002"/>
        </w:numPr>
      </w:pPr>
      <w:r>
        <w:t xml:space="preserve">(shah2018thesrcmodule pages 15-17): Neel H. Shah, Jeanine F. Amacher, Laura M. Nocka, and John Kuriyan. The src module: an ancient scaffold in the evolution of cytoplasmic tyrosine kinases. Critical Reviews in Biochemistry and Molecular Biology, 53:535-563, Sep 2018. URL: https://doi.org/10.1080/10409238.2018.1495173, doi:10.1080/10409238.2018.1495173. This article has 93 citations and is from a peer-reviewed journal.</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2025-06-18T18:52:36Z</dcterms:created>
  <dcterms:modified xsi:type="dcterms:W3CDTF">2025-06-18T18:52:36Z</dcterms:modified>
</cp:coreProperties>
</file>

<file path=docProps/custom.xml><?xml version="1.0" encoding="utf-8"?>
<Properties xmlns="http://schemas.openxmlformats.org/officeDocument/2006/custom-properties" xmlns:vt="http://schemas.openxmlformats.org/officeDocument/2006/docPropsVTypes"/>
</file>