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SBK2 (also known as SgK069 or SGK069, UniProt ID: P0C263) is a member of the eukaryotic serine/threonine kinase superfamily that is conserved across metazoans. Sequence comparisons and kinase domain analyses position SBK2 within a subgroup of cytoplasmic serine/threonine kinases that cluster together with other family members such as SBK1 and SBK3. Comparative phylogenetic studies of the human kinome indicate that kinases sharing the SBK2 designation display a high degree of conservation in their catalytic domains, suggesting that they have evolved from a common ancestral kinase that emerged early in eukaryotic evolution. Although detailed lineage‐by‐lineage ortholog data are not provided in the available peer‐reviewed studies, the conservation of the core catalytic motif—as observed in broader analyses of serine/threonine kinases—supports the concept that SBK2 orthologs are present among vertebrates. In addition, deep learning–based proteomic mapping has shown that SBK2 groups in phylogenetic proximity with kinases involved in neuronal regulatory pathways, implying potential conservation of function among its vertebrate orthologs (thiriet2013cytoplasmicproteinserinethreonine pages 30-33, narayan2007serinethreonineprotein pages 1-2).</w:t>
      </w:r>
    </w:p>
    <w:p>
      <w:pPr>
        <w:numPr>
          <w:ilvl w:val="0"/>
          <w:numId w:val="1001"/>
        </w:numPr>
      </w:pPr>
      <w:r>
        <w:t xml:space="preserve">Reaction Catalyzed</w:t>
      </w:r>
      <w:r>
        <w:br/>
      </w:r>
      <w:r>
        <w:t xml:space="preserve">SBK2 catalyzes the phosphorylation reaction common to serine/threonine kinases. In this reaction, the enzyme uses ATP to transfer the γ‐phosphate group to the hydroxyl group of serine or threonine residues on substrate proteins. The overall chemical reaction can be represented as:</w:t>
      </w:r>
      <w:r>
        <w:br/>
      </w:r>
      <w:r>
        <w:t xml:space="preserve">  ATP + [protein]–(L‐serine or L‐threonine) → ADP + [protein]–(L‐serine/threonine)‐phosphate + H⁺.</w:t>
      </w:r>
      <w:r>
        <w:br/>
      </w:r>
      <w:r>
        <w:t xml:space="preserve">This reaction is mediated by the kinase domain of SBK2 and results in the formation of a phosphoester bond that is critical for modulating the activity, localization, or interactions of its substrate proteins.</w:t>
      </w:r>
    </w:p>
    <w:p>
      <w:pPr>
        <w:numPr>
          <w:ilvl w:val="0"/>
          <w:numId w:val="1001"/>
        </w:numPr>
      </w:pPr>
      <w:r>
        <w:t xml:space="preserve">Cofactor Requirements</w:t>
      </w:r>
      <w:r>
        <w:br/>
      </w:r>
      <w:r>
        <w:t xml:space="preserve">The catalytic activity of SBK2 is dependent on the presence of divalent metal ions, with Mg²⁺ being required as a cofactor. Magnesium ions facilitate the proper orientation and stabilization of ATP within the active site of the kinase, thereby promoting efficient phosphoryl transfer. This cofactor requirement is characteristic of the majority of serine/threonine kinases, where Mg²⁺ binds to the ATP molecule, lowering the activation energy for the phosphoryl transfer reaction (thiriet2013cytoplasmicproteinserinethreonine pages 30-33, akhoon2019computationalinsightsinto pages 1-4).</w:t>
      </w:r>
    </w:p>
    <w:p>
      <w:pPr>
        <w:numPr>
          <w:ilvl w:val="0"/>
          <w:numId w:val="1001"/>
        </w:numPr>
      </w:pPr>
      <w:r>
        <w:t xml:space="preserve">Substrate Specificity</w:t>
      </w:r>
      <w:r>
        <w:br/>
      </w:r>
      <w:r>
        <w:t xml:space="preserve">The precise consensus substrate motif for SBK2 has not been defined in the available peer‐reviewed literature. In general, serine/threonine kinases recognize specific amino acid motifs surrounding the phosphorylation site, which typically include basic residues positioned upstream of the serine or threonine residue and acidic or hydrophobic residues in flanking positions. Although high‐throughput analyses of the human serine/threonine kinome have provided detailed atlases of substrate specificities for many kinases, no definitive report exists that establishes a unique consensus motif for SBK2. Computational analyses, including methods that utilize deep learning embeddings, have suggested that kinases such as SBK2 may exhibit substrate recognition patterns that diverge from canonical motifs observed in other AGC or STE family members. However, in the absence of dedicated experimental validation and a peer‐reviewed substrate atlas for SBK2 specifically, the consensus phosphorylation motif remains to be fully characterized.</w:t>
      </w:r>
    </w:p>
    <w:p>
      <w:pPr>
        <w:numPr>
          <w:ilvl w:val="0"/>
          <w:numId w:val="1001"/>
        </w:numPr>
      </w:pPr>
      <w:r>
        <w:t xml:space="preserve">Structure</w:t>
      </w:r>
      <w:r>
        <w:br/>
      </w:r>
      <w:r>
        <w:t xml:space="preserve">SBK2 is predicted to possess the canonical bilobal architecture common to serine/threonine kinases. Its structure is modeled on a central catalytic domain of approximately 250 amino acids that is arranged into an N‐terminal lobe—comprising predominantly β‐strands and a critical αC helix—and a larger C‐terminal lobe that contains the activation loop. The activation loop is flanked by evolutionarily conserved motifs, including the DFG motif at the beginning and the APE motif towards the end, which serve as markers for the active conformation of the kinase. Key structural elements such as the phosphate-binding loop (P-loop), the catalytic loop, and the hydrophobic spine are conserved and are essential for substrate binding and catalysis.</w:t>
      </w:r>
      <w:r>
        <w:br/>
      </w:r>
      <w:r>
        <w:t xml:space="preserve">Given its alternative name, “SH3 domain-binding kinase,” SBK2 is thought to contain sequence features that facilitate interactions with proteins containing SH3 domains, although the exact boundaries of these regulatory or interaction motifs have yet to be delineated through experimental structural studies. In the absence of high-resolution crystallographic data for SBK2, currently available models rely on homology modeling and predictions derived from AlphaFold, which support the presence of a conserved serine/threonine kinase fold similar to other members of the AGC kinase family (thiriet2013cytoplasmicproteinserinethreonine pages 30-33, akhoon2019computationalinsightsinto pages 4-7).</w:t>
      </w:r>
    </w:p>
    <w:p>
      <w:pPr>
        <w:numPr>
          <w:ilvl w:val="0"/>
          <w:numId w:val="1001"/>
        </w:numPr>
      </w:pPr>
      <w:r>
        <w:t xml:space="preserve">Regulation</w:t>
      </w:r>
      <w:r>
        <w:br/>
      </w:r>
      <w:r>
        <w:t xml:space="preserve">The regulation of SBK2, as with many serine/threonine kinases, is anticipated to involve phosphorylation events within its activation loop that convert the enzyme from an inactive to an active state. Although specific phosphorylation sites on SBK2 have not been extensively characterized in the peer‐reviewed literature, analogous kinases within the cytoplasmic serine/threonine class are known to undergo autophosphorylation or to be phosphorylated by upstream regulatory kinases such as PDK1. Such modifications typically induce structural rearrangements in the activation loop, enabling proper substrate access and stabilization of the catalytic core. In addition, the presence of potential SH3-binding motifs suggests that protein–protein interactions could also contribute to the allosteric regulation of SBK2, modulating its activity in response to specific signaling cues. No detailed mapping of post-translational modification sites on SBK2 is available in the current literature; thus, while phosphorylation is expected to be the primary regulatory mechanism, further empirical studies are necessary to detail the precise regulatory circuitry of this kinase (thiriet2013cytoplasmicproteinserinethreonine pages 33-36, akhoon2019computationalinsightsinto pages 7-9).</w:t>
      </w:r>
    </w:p>
    <w:p>
      <w:pPr>
        <w:numPr>
          <w:ilvl w:val="0"/>
          <w:numId w:val="1001"/>
        </w:numPr>
      </w:pPr>
      <w:r>
        <w:t xml:space="preserve">Function</w:t>
      </w:r>
      <w:r>
        <w:br/>
      </w:r>
      <w:r>
        <w:t xml:space="preserve">SBK2 functions as an enzyme that catalyzes the phosphorylation of serine/threonine residues on substrate proteins, thereby modulating key signaling pathways within the cell. Phylogenetic and proteomic analyses have placed SBK2 among kinases that are implicated in neuronal regulation. In particular, clustering data from deep learning–coupled proximity proteomics indicate that SBK2 is part of a kinase cluster that includes members with established roles in neuronal signal regulation, such as kinases involved in synaptic vesicle clustering and axon termination. This phylogenetic grouping suggests that SBK2 may participate in processes that govern neuronal polarity, synaptic function, and potentially other aspects of cellular communication in nervous tissue. Although a comprehensive functional characterization for SBK2 is not yet available in the peer‐reviewed literature, its assignment to this subgroup implies that it serves as a regulatory node in neuronal signaling cascades. Limited evidence from comparative studies shows that kinases in this cluster are often involved in fine‐tuning signal transduction pathways through the phosphorylation of substrates that control cytoskeletal dynamics and membrane trafficking, which are essential for the maintenance of neuronal architecture and function (jha2025deeplearningcoupledproximity pages 10-11, thiriet2013cytoplasmicproteinserinethreonine pages 30-33).</w:t>
      </w:r>
    </w:p>
    <w:p>
      <w:pPr>
        <w:numPr>
          <w:ilvl w:val="0"/>
          <w:numId w:val="1001"/>
        </w:numPr>
      </w:pPr>
      <w:r>
        <w:t xml:space="preserve">Other Comments</w:t>
      </w:r>
      <w:r>
        <w:br/>
      </w:r>
      <w:r>
        <w:t xml:space="preserve">At present, no selective small-molecule inhibitors have been reported that specifically target SBK2 in the peer-reviewed literature. Similarly, there are no well-documented disease‐associated mutations or clinical correlations directly attributed to dysregulated SBK2 activity in human conditions. The potential involvement of SBK2 in neuronal signaling and synaptic regulation positions it as a candidate for further investigation, particularly in the context of neurodevelopmental disorders or diseases involving aberrant kinase signaling. Future studies employing high-throughput kinase assays, substrate profiling, and systematic inhibitor screening are warranted to elucidate both the biochemical properties and the therapeutic potential of SBK2 (jha2025deeplearningcoupledproximity pages 12-14, akhoon2019computationalinsightsinto pages 7-9).</w:t>
      </w:r>
    </w:p>
    <w:p>
      <w:pPr>
        <w:numPr>
          <w:ilvl w:val="0"/>
          <w:numId w:val="1001"/>
        </w:numPr>
      </w:pPr>
      <w:r>
        <w:t xml:space="preserve">References</w:t>
      </w:r>
      <w:r>
        <w:br/>
      </w:r>
    </w:p>
    <w:p>
      <w:pPr>
        <w:numPr>
          <w:ilvl w:val="0"/>
          <w:numId w:val="1001"/>
        </w:numPr>
      </w:pPr>
      <w:r>
        <w:t xml:space="preserve">Narayan2007serinethreonineprotein pages 1-2, narayan2007serinethreonineprotein pages 2-4</w:t>
      </w:r>
      <w:r>
        <w:br/>
      </w:r>
    </w:p>
    <w:p>
      <w:pPr>
        <w:numPr>
          <w:ilvl w:val="0"/>
          <w:numId w:val="1001"/>
        </w:numPr>
      </w:pPr>
      <w:r>
        <w:t xml:space="preserve">Hardie2000plantproteinserinethreoninekinases pages 3-6, hardie2000plantproteinserinethreoninekinases pages 29-32</w:t>
      </w:r>
      <w:r>
        <w:br/>
      </w:r>
    </w:p>
    <w:p>
      <w:pPr>
        <w:numPr>
          <w:ilvl w:val="0"/>
          <w:numId w:val="1001"/>
        </w:numPr>
      </w:pPr>
      <w:r>
        <w:t xml:space="preserve">Akhoon2019computationalinsightsinto pages 1-4, akhoon2019computationalinsightsinto pages 7-9</w:t>
      </w:r>
      <w:r>
        <w:br/>
      </w:r>
    </w:p>
    <w:p>
      <w:pPr>
        <w:numPr>
          <w:ilvl w:val="0"/>
          <w:numId w:val="1001"/>
        </w:numPr>
      </w:pPr>
      <w:r>
        <w:t xml:space="preserve">Thiriet2013cytoplasmicproteinserinethreonine pages 30-33, thiriet2013cytoplasmicproteinserinethreonine pages 33-36</w:t>
      </w:r>
    </w:p>
    <w:p>
      <w:pPr>
        <w:pStyle w:val="FirstParagraph"/>
      </w:pPr>
      <w:r>
        <w:t xml:space="preserve">References</w:t>
      </w:r>
    </w:p>
    <w:p>
      <w:pPr>
        <w:numPr>
          <w:ilvl w:val="0"/>
          <w:numId w:val="1002"/>
        </w:numPr>
      </w:pPr>
      <w:r>
        <w:t xml:space="preserve">(jha2025deeplearningcoupledproximity pages 10-11):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(narayan2007serinethreonineprotein pages 1-2): Azeet Narayan, Preeti Sachdeva, Kirti Sharma, Adesh K. Saini, Anil K. Tyagi, and Yogendra Singh. Serine threonine protein kinases of mycobacterial genus: phylogeny to function. Physiological Genomics, 29:66-75, Mar 2007. URL: https://doi.org/10.1152/physiolgenomics.00221.2006, doi:10.1152/physiolgenomics.00221.2006. This article has 115 citations and is from a peer-reviewed journal.</w:t>
      </w:r>
    </w:p>
    <w:p>
      <w:pPr>
        <w:numPr>
          <w:ilvl w:val="0"/>
          <w:numId w:val="1002"/>
        </w:numPr>
      </w:pPr>
      <w:r>
        <w:t xml:space="preserve">(narayan2007serinethreonineprotein pages 2-4): Azeet Narayan, Preeti Sachdeva, Kirti Sharma, Adesh K. Saini, Anil K. Tyagi, and Yogendra Singh. Serine threonine protein kinases of mycobacterial genus: phylogeny to function. Physiological Genomics, 29:66-75, Mar 2007. URL: https://doi.org/10.1152/physiolgenomics.00221.2006, doi:10.1152/physiolgenomics.00221.2006. This article has 115 citations and is from a peer-reviewed journal.</w:t>
      </w:r>
    </w:p>
    <w:p>
      <w:pPr>
        <w:numPr>
          <w:ilvl w:val="0"/>
          <w:numId w:val="1002"/>
        </w:numPr>
      </w:pPr>
      <w:r>
        <w:t xml:space="preserve">(akhoon2019computationalinsightsinto pages 1-4):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p>
      <w:pPr>
        <w:numPr>
          <w:ilvl w:val="0"/>
          <w:numId w:val="1002"/>
        </w:numPr>
      </w:pPr>
      <w:r>
        <w:t xml:space="preserve">(akhoon2019computationalinsightsinto pages 7-9):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p>
      <w:pPr>
        <w:numPr>
          <w:ilvl w:val="0"/>
          <w:numId w:val="1002"/>
        </w:numPr>
      </w:pPr>
      <w:r>
        <w:t xml:space="preserve">(hardie2000plantproteinserinethreoninekinases pages 29-32): DG Hardie. Plant protein-serine/threonine kinases: classification into subfamilies and overview of function. Advances in Botanical Research, 32:1-44, 2000. URL: https://doi.org/10.1016/s0065-2296(00)32020-1, doi:10.1016/s0065-2296(00)32020-1. This article has 27 citations and is from a peer-reviewed journal.</w:t>
      </w:r>
    </w:p>
    <w:p>
      <w:pPr>
        <w:numPr>
          <w:ilvl w:val="0"/>
          <w:numId w:val="1002"/>
        </w:numPr>
      </w:pPr>
      <w:r>
        <w:t xml:space="preserve">(thiriet2013cytoplasmicproteinserinethreonine pages 30-33):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33-36):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(akhoon2019computationalinsightsinto pages 4-7): Bashir A. Akhoon, Neha S. Gandhi, and Rakesh Pandey. Computational insights into the active structure of sgk1 and its implication for ligand design. Biochimie, 165:57-66, Oct 2019. URL: https://doi.org/10.1016/j.biochi.2019.07.007, doi:10.1016/j.biochi.2019.07.007. This article has 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